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spacing w:before="120" w:beforeAutospacing="0" w:after="120" w:afterAutospacing="0" w:line="360" w:lineRule="auto"/>
        <w:rPr>
          <w:rFonts w:ascii="Arial" w:hAnsi="Arial" w:cs="Arial"/>
          <w:b/>
          <w:sz w:val="84"/>
          <w:szCs w:val="84"/>
          <w:highlight w:val="none"/>
        </w:rPr>
      </w:pPr>
      <w:r>
        <w:rPr>
          <w:highlight w:val="none"/>
        </w:rPr>
        <w:t xml:space="preserve"> </w:t>
      </w:r>
      <w:r/>
    </w:p>
    <w:p>
      <w:pPr>
        <w:pStyle w:val="929"/>
        <w:jc w:val="center"/>
        <w:spacing w:before="120" w:beforeAutospacing="0" w:after="120" w:afterAutospacing="0" w:line="360" w:lineRule="auto"/>
        <w:rPr>
          <w:highlight w:val="none"/>
        </w:rPr>
      </w:pPr>
      <w:r>
        <w:rPr>
          <w:rFonts w:ascii="Arial" w:hAnsi="Arial" w:cs="Arial"/>
          <w:b/>
          <w:sz w:val="84"/>
          <w:szCs w:val="84"/>
          <w:highlight w:val="none"/>
        </w:rPr>
        <w:t xml:space="preserve">招 标 文 件</w:t>
      </w:r>
      <w:r/>
    </w:p>
    <w:p>
      <w:pPr>
        <w:pStyle w:val="929"/>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929"/>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929"/>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929"/>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929"/>
        <w:jc w:val="both"/>
        <w:spacing w:before="120" w:beforeAutospacing="0" w:after="120" w:afterAutospacing="0" w:line="360" w:lineRule="auto"/>
        <w:rPr>
          <w:sz w:val="40"/>
          <w:szCs w:val="40"/>
          <w:highlight w:val="none"/>
        </w:rPr>
      </w:pPr>
      <w:r>
        <w:rPr>
          <w:rFonts w:ascii="Arial" w:hAnsi="Arial" w:cs="Arial"/>
          <w:b/>
          <w:sz w:val="40"/>
          <w:szCs w:val="40"/>
          <w:highlight w:val="none"/>
        </w:rPr>
        <w:t xml:space="preserve">项目名称：</w:t>
      </w:r>
      <w:r>
        <w:rPr>
          <w:rFonts w:hint="eastAsia" w:ascii="Arial" w:hAnsi="Arial" w:cs="Arial"/>
          <w:b/>
          <w:sz w:val="40"/>
          <w:szCs w:val="40"/>
          <w:highlight w:val="none"/>
        </w:rPr>
        <w:t xml:space="preserve">滨海县公安局道路交通安全提升项目</w:t>
      </w:r>
      <w:r/>
    </w:p>
    <w:p>
      <w:pPr>
        <w:spacing w:before="120" w:after="120" w:line="85" w:lineRule="atLeast"/>
        <w:rPr>
          <w:rFonts w:hint="eastAsia" w:eastAsia="宋体"/>
          <w:sz w:val="22"/>
          <w:szCs w:val="28"/>
          <w:highlight w:val="none"/>
          <w:lang w:eastAsia="zh-CN"/>
        </w:rPr>
        <w:pBdr>
          <w:top w:val="none" w:color="000000" w:sz="0" w:space="0"/>
          <w:left w:val="none" w:color="000000" w:sz="0" w:space="0"/>
          <w:bottom w:val="none" w:color="000000" w:sz="0" w:space="0"/>
          <w:right w:val="none" w:color="000000" w:sz="0" w:space="0"/>
        </w:pBdr>
      </w:pPr>
      <w:r>
        <w:rPr>
          <w:rFonts w:ascii="Arial" w:hAnsi="Arial" w:cs="Arial"/>
          <w:b/>
          <w:sz w:val="40"/>
          <w:szCs w:val="40"/>
          <w:highlight w:val="none"/>
        </w:rPr>
        <w:t xml:space="preserve">项目编号：</w:t>
      </w:r>
      <w:r>
        <w:rPr>
          <w:rFonts w:hint="eastAsia" w:ascii="Arial" w:hAnsi="Arial" w:cs="Arial"/>
          <w:b/>
          <w:sz w:val="40"/>
          <w:szCs w:val="40"/>
          <w:highlight w:val="none"/>
          <w:lang w:eastAsia="zh-CN"/>
        </w:rPr>
        <w:t xml:space="preserve">JSZC-320922-ZAIX-G2026-0010</w:t>
      </w:r>
      <w:r/>
    </w:p>
    <w:p>
      <w:pPr>
        <w:pStyle w:val="929"/>
        <w:ind w:firstLine="2249"/>
        <w:jc w:val="both"/>
        <w:spacing w:before="120" w:beforeAutospacing="0" w:after="120" w:afterAutospacing="0" w:line="360" w:lineRule="auto"/>
        <w:rPr>
          <w:sz w:val="36"/>
          <w:szCs w:val="36"/>
          <w:highlight w:val="none"/>
        </w:rPr>
      </w:pPr>
      <w:r>
        <w:rPr>
          <w:sz w:val="36"/>
          <w:szCs w:val="36"/>
          <w:highlight w:val="none"/>
        </w:rPr>
      </w:r>
      <w:r/>
    </w:p>
    <w:p>
      <w:pPr>
        <w:pStyle w:val="929"/>
        <w:spacing w:beforeAutospacing="0" w:afterAutospacing="0" w:line="360" w:lineRule="auto"/>
        <w:rPr>
          <w:highlight w:val="none"/>
        </w:rPr>
      </w:pPr>
      <w:r>
        <w:rPr>
          <w:highlight w:val="none"/>
        </w:rPr>
        <w:t xml:space="preserve"> </w:t>
      </w:r>
      <w:r/>
    </w:p>
    <w:p>
      <w:pPr>
        <w:pStyle w:val="929"/>
        <w:spacing w:beforeAutospacing="0" w:afterAutospacing="0" w:line="360" w:lineRule="auto"/>
        <w:rPr>
          <w:highlight w:val="none"/>
        </w:rPr>
      </w:pPr>
      <w:r>
        <w:rPr>
          <w:highlight w:val="none"/>
        </w:rPr>
        <w:t xml:space="preserve"> </w:t>
      </w:r>
      <w:r/>
    </w:p>
    <w:p>
      <w:pPr>
        <w:pStyle w:val="929"/>
        <w:spacing w:beforeAutospacing="0" w:afterAutospacing="0" w:line="360" w:lineRule="auto"/>
        <w:rPr>
          <w:highlight w:val="none"/>
        </w:rPr>
      </w:pPr>
      <w:r>
        <w:rPr>
          <w:highlight w:val="none"/>
        </w:rPr>
        <w:t xml:space="preserve"> </w:t>
      </w:r>
      <w:r/>
    </w:p>
    <w:p>
      <w:pPr>
        <w:pStyle w:val="929"/>
        <w:spacing w:beforeAutospacing="0" w:afterAutospacing="0" w:line="360" w:lineRule="auto"/>
        <w:rPr>
          <w:highlight w:val="none"/>
        </w:rPr>
      </w:pPr>
      <w:r>
        <w:rPr>
          <w:highlight w:val="none"/>
        </w:rPr>
        <w:t xml:space="preserve"> </w:t>
      </w:r>
      <w:r/>
    </w:p>
    <w:p>
      <w:pPr>
        <w:pStyle w:val="929"/>
        <w:spacing w:beforeAutospacing="0" w:afterAutospacing="0" w:line="360" w:lineRule="auto"/>
        <w:rPr>
          <w:highlight w:val="none"/>
        </w:rPr>
      </w:pPr>
      <w:r>
        <w:rPr>
          <w:highlight w:val="none"/>
        </w:rPr>
      </w:r>
      <w:r/>
    </w:p>
    <w:p>
      <w:pPr>
        <w:pStyle w:val="929"/>
        <w:spacing w:beforeAutospacing="0" w:afterAutospacing="0" w:line="360" w:lineRule="auto"/>
        <w:rPr>
          <w:highlight w:val="none"/>
        </w:rPr>
      </w:pPr>
      <w:r>
        <w:rPr>
          <w:highlight w:val="none"/>
        </w:rPr>
      </w:r>
      <w:r/>
    </w:p>
    <w:p>
      <w:pPr>
        <w:pStyle w:val="929"/>
        <w:spacing w:beforeAutospacing="0" w:afterAutospacing="0" w:line="360" w:lineRule="auto"/>
        <w:rPr>
          <w:highlight w:val="none"/>
        </w:rPr>
      </w:pPr>
      <w:r>
        <w:rPr>
          <w:highlight w:val="none"/>
        </w:rPr>
        <w:t xml:space="preserve"> </w:t>
      </w:r>
      <w:r/>
    </w:p>
    <w:p>
      <w:pPr>
        <w:pStyle w:val="929"/>
        <w:spacing w:beforeAutospacing="0" w:afterAutospacing="0" w:line="360" w:lineRule="auto"/>
        <w:rPr>
          <w:highlight w:val="none"/>
        </w:rPr>
      </w:pPr>
      <w:r>
        <w:rPr>
          <w:highlight w:val="none"/>
        </w:rPr>
        <w:t xml:space="preserve"> </w:t>
      </w:r>
      <w:r/>
    </w:p>
    <w:p>
      <w:pPr>
        <w:pStyle w:val="929"/>
        <w:jc w:val="center"/>
        <w:spacing w:before="120" w:beforeAutospacing="0" w:after="120" w:afterAutospacing="0" w:line="360" w:lineRule="auto"/>
        <w:rPr>
          <w:rFonts w:ascii="Arial" w:hAnsi="Arial" w:cs="Arial"/>
          <w:b/>
          <w:sz w:val="36"/>
          <w:szCs w:val="36"/>
          <w:highlight w:val="none"/>
        </w:rPr>
      </w:pPr>
      <w:r>
        <w:rPr>
          <w:rFonts w:hint="eastAsia" w:ascii="Arial" w:hAnsi="Arial" w:cs="Arial"/>
          <w:b/>
          <w:sz w:val="36"/>
          <w:szCs w:val="36"/>
          <w:highlight w:val="none"/>
        </w:rPr>
        <w:t xml:space="preserve">采购单位：滨海县公安局</w:t>
      </w:r>
      <w:r/>
    </w:p>
    <w:p>
      <w:pPr>
        <w:pStyle w:val="929"/>
        <w:jc w:val="center"/>
        <w:spacing w:before="120" w:beforeAutospacing="0" w:after="120" w:afterAutospacing="0" w:line="360" w:lineRule="auto"/>
        <w:rPr>
          <w:sz w:val="36"/>
          <w:szCs w:val="36"/>
          <w:highlight w:val="none"/>
        </w:rPr>
      </w:pPr>
      <w:r>
        <w:rPr>
          <w:rFonts w:hint="eastAsia" w:ascii="Arial" w:hAnsi="Arial" w:cs="Arial"/>
          <w:b/>
          <w:sz w:val="36"/>
          <w:szCs w:val="36"/>
          <w:highlight w:val="none"/>
        </w:rPr>
        <w:t xml:space="preserve">2026</w:t>
      </w:r>
      <w:r>
        <w:rPr>
          <w:rFonts w:ascii="Arial" w:hAnsi="Arial" w:cs="Arial"/>
          <w:b/>
          <w:sz w:val="36"/>
          <w:szCs w:val="36"/>
          <w:highlight w:val="none"/>
        </w:rPr>
        <w:t xml:space="preserve">年</w:t>
      </w:r>
      <w:r>
        <w:rPr>
          <w:rFonts w:hint="eastAsia" w:ascii="Arial" w:hAnsi="Arial" w:cs="Arial"/>
          <w:b/>
          <w:sz w:val="36"/>
          <w:szCs w:val="36"/>
          <w:highlight w:val="none"/>
        </w:rPr>
        <w:t xml:space="preserve">5</w:t>
      </w:r>
      <w:r>
        <w:rPr>
          <w:rFonts w:ascii="Arial" w:hAnsi="Arial" w:cs="Arial"/>
          <w:b/>
          <w:sz w:val="36"/>
          <w:szCs w:val="36"/>
          <w:highlight w:val="none"/>
        </w:rPr>
        <w:t xml:space="preserve">月</w:t>
      </w:r>
      <w:r/>
    </w:p>
    <w:p>
      <w:pPr>
        <w:pStyle w:val="929"/>
        <w:spacing w:before="120" w:beforeAutospacing="0" w:after="120" w:afterAutospacing="0" w:line="360" w:lineRule="auto"/>
        <w:rPr>
          <w:highlight w:val="none"/>
        </w:rPr>
      </w:pPr>
      <w:r>
        <w:rPr>
          <w:rFonts w:ascii="Arial" w:hAnsi="Arial" w:cs="Arial"/>
          <w:highlight w:val="none"/>
        </w:rPr>
        <w:t xml:space="preserve">                        </w:t>
      </w:r>
      <w:r/>
    </w:p>
    <w:p>
      <w:pPr>
        <w:pStyle w:val="929"/>
        <w:jc w:val="center"/>
        <w:spacing w:before="120" w:beforeAutospacing="0" w:after="120" w:afterAutospacing="0" w:line="360" w:lineRule="auto"/>
        <w:rPr>
          <w:highlight w:val="none"/>
        </w:rPr>
        <w:sectPr>
          <w:footnotePr/>
          <w:endnotePr/>
          <w:type w:val="nextPage"/>
          <w:pgSz w:w="11906" w:h="16838" w:orient="portrait"/>
          <w:pgMar w:top="1440" w:right="1633" w:bottom="1440" w:left="1633" w:header="851" w:footer="992" w:gutter="0"/>
          <w:cols w:num="1" w:sep="0" w:space="1701" w:equalWidth="1"/>
          <w:docGrid w:linePitch="360"/>
        </w:sectPr>
      </w:pPr>
      <w:r>
        <w:rPr>
          <w:highlight w:val="none"/>
        </w:rPr>
        <w:t xml:space="preserve"> </w:t>
      </w:r>
      <w:r/>
    </w:p>
    <w:p>
      <w:pPr>
        <w:pStyle w:val="929"/>
        <w:jc w:val="center"/>
        <w:spacing w:beforeAutospacing="0" w:afterAutospacing="0" w:line="480" w:lineRule="auto"/>
        <w:rPr>
          <w:highlight w:val="none"/>
        </w:rPr>
      </w:pPr>
      <w:r/>
      <w:bookmarkStart w:id="0" w:name="_Toc479757206"/>
      <w:r/>
      <w:bookmarkStart w:id="1" w:name="_Toc120614210"/>
      <w:r/>
      <w:bookmarkStart w:id="2" w:name="_Toc523127445"/>
      <w:r/>
      <w:bookmarkStart w:id="3" w:name="_Toc513029200"/>
      <w:r/>
      <w:bookmarkStart w:id="4" w:name="_Toc20823272"/>
      <w:r/>
      <w:bookmarkStart w:id="5" w:name="_Toc16938516"/>
      <w:r>
        <w:rPr>
          <w:rFonts w:ascii="黑体" w:hAnsi="宋体" w:eastAsia="黑体" w:cs="黑体"/>
          <w:b/>
          <w:sz w:val="44"/>
          <w:szCs w:val="44"/>
          <w:highlight w:val="none"/>
        </w:rPr>
        <w:t xml:space="preserve">总  目  录</w:t>
      </w:r>
      <w:bookmarkEnd w:id="0"/>
      <w:r/>
      <w:bookmarkEnd w:id="1"/>
      <w:r/>
      <w:bookmarkEnd w:id="2"/>
      <w:r/>
      <w:bookmarkEnd w:id="3"/>
      <w:r/>
      <w:bookmarkEnd w:id="4"/>
      <w:r/>
      <w:bookmarkEnd w:id="5"/>
      <w:r/>
      <w:r/>
    </w:p>
    <w:p>
      <w:pPr>
        <w:pStyle w:val="929"/>
        <w:jc w:val="both"/>
        <w:spacing w:beforeAutospacing="0" w:afterAutospacing="0" w:line="480" w:lineRule="auto"/>
        <w:rPr>
          <w:highlight w:val="none"/>
        </w:rPr>
      </w:pPr>
      <w:r>
        <w:rPr>
          <w:highlight w:val="none"/>
        </w:rPr>
        <w:t xml:space="preserve"> </w:t>
      </w:r>
      <w:r/>
    </w:p>
    <w:p>
      <w:pPr>
        <w:pStyle w:val="929"/>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第一章  招标公告 </w:t>
      </w:r>
      <w:r/>
    </w:p>
    <w:p>
      <w:pPr>
        <w:pStyle w:val="929"/>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第二章  投标人须知  </w:t>
      </w:r>
      <w:r/>
    </w:p>
    <w:p>
      <w:pPr>
        <w:pStyle w:val="929"/>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第三章  合同条款</w:t>
      </w:r>
      <w:r/>
    </w:p>
    <w:p>
      <w:pPr>
        <w:pStyle w:val="929"/>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第四章  采购需求</w:t>
      </w:r>
      <w:r/>
    </w:p>
    <w:p>
      <w:pPr>
        <w:pStyle w:val="929"/>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第五章  评标方法与评标标准</w:t>
      </w:r>
      <w:r/>
    </w:p>
    <w:p>
      <w:pPr>
        <w:pStyle w:val="929"/>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第六章  投标文件格式</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sectPr>
          <w:footnotePr/>
          <w:endnotePr/>
          <w:type w:val="nextPage"/>
          <w:pgSz w:w="11906" w:h="16838" w:orient="portrait"/>
          <w:pgMar w:top="1440" w:right="1633" w:bottom="1440" w:left="1633" w:header="851" w:footer="992" w:gutter="0"/>
          <w:cols w:num="1" w:sep="0" w:space="1701" w:equalWidth="1"/>
          <w:docGrid w:linePitch="360"/>
        </w:sectPr>
      </w:pPr>
      <w:r>
        <w:rPr>
          <w:highlight w:val="none"/>
        </w:rPr>
        <w:t xml:space="preserve"> </w:t>
      </w:r>
      <w:r/>
    </w:p>
    <w:p>
      <w:pPr>
        <w:pStyle w:val="929"/>
        <w:jc w:val="both"/>
        <w:spacing w:beforeAutospacing="0" w:afterAutospacing="0"/>
        <w:rPr>
          <w:highlight w:val="none"/>
        </w:rPr>
      </w:pPr>
      <w:r>
        <w:rPr>
          <w:highlight w:val="none"/>
        </w:rPr>
      </w:r>
      <w:r/>
    </w:p>
    <w:p>
      <w:pPr>
        <w:pStyle w:val="929"/>
        <w:jc w:val="center"/>
        <w:keepNext/>
        <w:spacing w:beforeAutospacing="0" w:afterAutospacing="0" w:line="480" w:lineRule="auto"/>
        <w:rPr>
          <w:rFonts w:eastAsia="黑体"/>
          <w:highlight w:val="none"/>
        </w:rPr>
      </w:pPr>
      <w:r/>
      <w:bookmarkStart w:id="6" w:name="_Toc28359086"/>
      <w:r>
        <w:rPr>
          <w:rFonts w:hint="eastAsia" w:ascii="黑体" w:hAnsi="宋体" w:eastAsia="黑体" w:cs="黑体"/>
          <w:sz w:val="44"/>
          <w:szCs w:val="44"/>
          <w:highlight w:val="none"/>
        </w:rPr>
        <w:t xml:space="preserve">第一章 招标公告</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项目概况：</w:t>
      </w:r>
      <w:r>
        <w:rPr>
          <w:rFonts w:hint="eastAsia" w:ascii="宋体" w:hAnsi="宋体" w:cs="宋体"/>
          <w:highlight w:val="none"/>
          <w:u w:val="single"/>
        </w:rPr>
        <w:t xml:space="preserve">滨海县公安局道路交通安全提升项目</w:t>
      </w:r>
      <w:r>
        <w:rPr>
          <w:rFonts w:hint="eastAsia" w:ascii="宋体" w:hAnsi="宋体" w:cs="宋体"/>
          <w:highlight w:val="none"/>
        </w:rPr>
        <w:t xml:space="preserve">的潜在投标人可在</w:t>
      </w:r>
      <w:r>
        <w:rPr>
          <w:rFonts w:hint="eastAsia" w:ascii="宋体" w:hAnsi="宋体" w:cs="宋体"/>
          <w:highlight w:val="none"/>
          <w:shd w:val="clear" w:color="auto" w:fill="ffffff"/>
        </w:rPr>
        <w:t xml:space="preserve">“苏采云”系统内免费下载（投标人必须在苏采云系统中获取采购文件，方能参与政府采购项目）</w:t>
      </w:r>
      <w:r>
        <w:rPr>
          <w:rFonts w:hint="eastAsia" w:ascii="宋体" w:hAnsi="宋体" w:cs="宋体"/>
          <w:highlight w:val="none"/>
        </w:rPr>
        <w:t xml:space="preserve">，并于</w:t>
      </w:r>
      <w:r>
        <w:rPr>
          <w:rFonts w:hint="eastAsia" w:ascii="宋体" w:hAnsi="宋体" w:cs="宋体"/>
          <w:highlight w:val="none"/>
          <w:u w:val="single"/>
        </w:rPr>
        <w:t xml:space="preserve">2026年6月</w:t>
      </w:r>
      <w:r>
        <w:rPr>
          <w:rFonts w:hint="eastAsia" w:ascii="宋体" w:hAnsi="宋体" w:cs="宋体"/>
          <w:highlight w:val="none"/>
          <w:u w:val="single"/>
          <w:lang w:val="en-US" w:eastAsia="zh-CN"/>
        </w:rPr>
        <w:t xml:space="preserve">16</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点00分00秒（</w:t>
      </w:r>
      <w:r>
        <w:rPr>
          <w:rFonts w:hint="eastAsia" w:ascii="宋体" w:hAnsi="宋体" w:cs="宋体"/>
          <w:highlight w:val="none"/>
        </w:rPr>
        <w:t xml:space="preserve">北京时间）前递交投标文件。</w:t>
      </w:r>
      <w:r/>
    </w:p>
    <w:p>
      <w:pPr>
        <w:pStyle w:val="929"/>
        <w:ind w:firstLine="498"/>
        <w:jc w:val="both"/>
        <w:keepLines/>
        <w:keepNext/>
        <w:spacing w:before="145" w:beforeAutospacing="0" w:after="145" w:afterAutospacing="0" w:line="360" w:lineRule="auto"/>
        <w:rPr>
          <w:rFonts w:hint="eastAsia" w:ascii="宋体" w:hAnsi="宋体" w:cs="宋体"/>
          <w:highlight w:val="none"/>
        </w:rPr>
      </w:pPr>
      <w:r/>
      <w:bookmarkStart w:id="7" w:name="_Toc38985263"/>
      <w:r/>
      <w:bookmarkStart w:id="8" w:name="_Toc28359079"/>
      <w:r/>
      <w:bookmarkStart w:id="9" w:name="_Hlk24379207"/>
      <w:r/>
      <w:bookmarkStart w:id="10" w:name="_Toc35393621"/>
      <w:r/>
      <w:bookmarkStart w:id="11" w:name="_Toc28359002"/>
      <w:r/>
      <w:bookmarkStart w:id="12" w:name="_Toc35393790"/>
      <w:r>
        <w:rPr>
          <w:rFonts w:hint="eastAsia" w:ascii="宋体" w:hAnsi="宋体" w:cs="宋体"/>
          <w:b/>
          <w:highlight w:val="none"/>
        </w:rPr>
        <w:t xml:space="preserve">一、项目基本情况</w:t>
      </w:r>
      <w:bookmarkEnd w:id="7"/>
      <w:r/>
      <w:bookmarkEnd w:id="8"/>
      <w:r/>
      <w:bookmarkEnd w:id="9"/>
      <w:r/>
      <w:bookmarkEnd w:id="10"/>
      <w:r/>
      <w:bookmarkEnd w:id="11"/>
      <w:r/>
      <w:bookmarkEnd w:id="12"/>
      <w:r/>
      <w:r/>
    </w:p>
    <w:p>
      <w:pPr>
        <w:pStyle w:val="929"/>
        <w:ind w:firstLine="480"/>
        <w:jc w:val="both"/>
        <w:spacing w:beforeAutospacing="0" w:afterAutospacing="0" w:line="360" w:lineRule="auto"/>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1.项目编号</w:t>
      </w:r>
      <w:r>
        <w:rPr>
          <w:rFonts w:hint="eastAsia" w:ascii="宋体" w:hAnsi="宋体" w:cs="宋体"/>
          <w:highlight w:val="none"/>
          <w:shd w:val="clear" w:color="auto" w:fill="ffffff"/>
          <w:lang w:eastAsia="zh-CN"/>
        </w:rPr>
        <w:t xml:space="preserve">：JSZC-320922-ZAIX-G2026-0010</w:t>
      </w:r>
      <w:r>
        <w:rPr>
          <w:rFonts w:hint="eastAsia" w:ascii="宋体" w:hAnsi="宋体" w:cs="宋体"/>
          <w:highlight w:val="none"/>
          <w:shd w:val="clear" w:color="auto" w:fill="ffffff"/>
        </w:rPr>
        <w:t xml:space="preserve"> </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2.项目名称：滨海县公安局道路交通安全提升项目</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shd w:val="clear" w:color="auto" w:fill="ffffff"/>
        </w:rPr>
        <w:t xml:space="preserve">3.采购方式：公开招标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4.预算金额：</w:t>
      </w:r>
      <w:r>
        <w:rPr>
          <w:rFonts w:hint="eastAsia" w:ascii="宋体" w:hAnsi="宋体" w:cs="宋体"/>
          <w:highlight w:val="none"/>
          <w:shd w:val="clear" w:color="auto" w:fill="ffffff"/>
        </w:rPr>
        <w:t xml:space="preserve">人民币1350.11万元</w:t>
      </w:r>
      <w:r/>
    </w:p>
    <w:p>
      <w:pPr>
        <w:pStyle w:val="929"/>
        <w:ind w:firstLine="480"/>
        <w:jc w:val="both"/>
        <w:spacing w:beforeAutospacing="0" w:afterAutospacing="0" w:line="360" w:lineRule="auto"/>
        <w:rPr>
          <w:rFonts w:hint="eastAsia" w:ascii="宋体" w:hAnsi="宋体" w:cs="宋体"/>
          <w:highlight w:val="none"/>
          <w:shd w:val="clear" w:color="ffffff" w:fill="d9d9d9"/>
        </w:rPr>
      </w:pPr>
      <w:r>
        <w:rPr>
          <w:rFonts w:hint="eastAsia" w:ascii="宋体" w:hAnsi="宋体" w:cs="宋体"/>
          <w:highlight w:val="none"/>
          <w:shd w:val="clear" w:color="auto" w:fill="ffffff"/>
        </w:rPr>
        <w:t xml:space="preserve">5.最高限价：人民币1350.11万元</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6.采购需求：</w:t>
      </w:r>
      <w:r>
        <w:rPr>
          <w:rFonts w:hint="eastAsia" w:ascii="宋体" w:hAnsi="宋体" w:cs="宋体"/>
          <w:spacing w:val="-5"/>
          <w:highlight w:val="none"/>
        </w:rPr>
        <w:t xml:space="preserve">针对我县当前道路交通安全面临的形势和工作实际情况，充分考虑县域道路状况、事故易发路段、事故“减量控大”等因素，聚焦于安全为先、问题导向、效率为本、科技赋能等方面，围绕精准化违法管控、立体化安全防控、突发情况应急防范与服务、全面支撑基础设施保障四大体系对道路交通安全进行提升，包括产品（含相关附配件、软件）的采购、包装、运输、装卸、安装、调试、集成、培训</w:t>
      </w:r>
      <w:r>
        <w:rPr>
          <w:rFonts w:hint="eastAsia" w:ascii="宋体" w:hAnsi="宋体" w:cs="宋体"/>
          <w:spacing w:val="-5"/>
          <w:highlight w:val="none"/>
          <w:lang w:eastAsia="zh-CN"/>
        </w:rPr>
        <w:t xml:space="preserve">（</w:t>
      </w:r>
      <w:r>
        <w:rPr>
          <w:rFonts w:hint="eastAsia" w:ascii="宋体" w:hAnsi="宋体" w:cs="宋体"/>
          <w:spacing w:val="-5"/>
          <w:highlight w:val="none"/>
          <w:lang w:val="en-US" w:eastAsia="zh-CN"/>
        </w:rPr>
        <w:t xml:space="preserve">含无人机培训</w:t>
      </w:r>
      <w:r>
        <w:rPr>
          <w:rFonts w:hint="eastAsia" w:ascii="宋体" w:hAnsi="宋体" w:cs="宋体"/>
          <w:spacing w:val="-5"/>
          <w:highlight w:val="none"/>
          <w:lang w:eastAsia="zh-CN"/>
        </w:rPr>
        <w:t xml:space="preserve">）</w:t>
      </w:r>
      <w:r>
        <w:rPr>
          <w:rFonts w:hint="eastAsia" w:ascii="宋体" w:hAnsi="宋体" w:cs="宋体"/>
          <w:spacing w:val="-5"/>
          <w:highlight w:val="none"/>
        </w:rPr>
        <w:t xml:space="preserve">、验收、</w:t>
      </w:r>
      <w:r>
        <w:rPr>
          <w:rFonts w:hint="eastAsia" w:ascii="宋体" w:hAnsi="宋体" w:cs="宋体"/>
          <w:spacing w:val="-5"/>
          <w:highlight w:val="none"/>
          <w:lang w:val="en-US" w:eastAsia="zh-CN"/>
        </w:rPr>
        <w:t xml:space="preserve">保险、</w:t>
      </w:r>
      <w:r>
        <w:rPr>
          <w:rFonts w:hint="eastAsia" w:ascii="宋体" w:hAnsi="宋体" w:cs="宋体"/>
          <w:spacing w:val="-5"/>
          <w:highlight w:val="none"/>
        </w:rPr>
        <w:t xml:space="preserve">五年免费质量保修期内维保、售后服务等相伴随服务。具体货物名称、数量及技术参数需求等内容详见招标文件第四章</w:t>
      </w:r>
      <w:r>
        <w:rPr>
          <w:rFonts w:hint="eastAsia" w:ascii="宋体" w:hAnsi="宋体" w:cs="宋体"/>
          <w:highlight w:val="none"/>
        </w:rPr>
        <w:t xml:space="preserve">。</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7.供货期限（含安装调试工期）：</w:t>
      </w:r>
      <w:r>
        <w:rPr>
          <w:rFonts w:hint="eastAsia" w:ascii="宋体" w:hAnsi="宋体" w:cs="宋体"/>
          <w:b/>
          <w:highlight w:val="none"/>
          <w:u w:val="single"/>
        </w:rPr>
        <w:t xml:space="preserve">90</w:t>
      </w:r>
      <w:r>
        <w:rPr>
          <w:rFonts w:hint="eastAsia" w:ascii="宋体" w:hAnsi="宋体" w:cs="宋体"/>
          <w:highlight w:val="none"/>
        </w:rPr>
        <w:t xml:space="preserve">日历天。</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8.免费质量保修期</w:t>
      </w:r>
      <w:r>
        <w:rPr>
          <w:rFonts w:hint="eastAsia" w:ascii="宋体" w:hAnsi="宋体" w:cs="宋体"/>
          <w:highlight w:val="none"/>
          <w:lang w:eastAsia="zh-CN"/>
        </w:rPr>
        <w:t xml:space="preserve">：</w:t>
      </w:r>
      <w:r>
        <w:rPr>
          <w:rFonts w:hint="eastAsia" w:ascii="宋体" w:hAnsi="宋体" w:cs="宋体"/>
          <w:highlight w:val="none"/>
          <w:u w:val="none"/>
          <w:lang w:eastAsia="zh-CN"/>
        </w:rPr>
        <w:t xml:space="preserve">五年（自项目竣工验收合格之日起计算）</w:t>
      </w:r>
      <w:r>
        <w:rPr>
          <w:rFonts w:hint="eastAsia" w:ascii="宋体" w:hAnsi="宋体" w:cs="宋体"/>
          <w:highlight w:val="none"/>
        </w:rPr>
        <w:t xml:space="preserve">。</w:t>
      </w:r>
      <w:r>
        <w:rPr>
          <w:rFonts w:ascii="宋体" w:hAnsi="宋体" w:cs="宋体"/>
          <w:highlight w:val="none"/>
        </w:rPr>
        <w:t xml:space="preserve"> </w:t>
      </w:r>
      <w:r/>
    </w:p>
    <w:p>
      <w:pPr>
        <w:pStyle w:val="929"/>
        <w:ind w:firstLine="480"/>
        <w:jc w:val="both"/>
        <w:spacing w:beforeAutospacing="0" w:afterAutospacing="0" w:line="360" w:lineRule="auto"/>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9.</w:t>
      </w:r>
      <w:r>
        <w:rPr>
          <w:rFonts w:hint="eastAsia" w:ascii="宋体" w:hAnsi="宋体" w:cs="宋体"/>
          <w:highlight w:val="none"/>
        </w:rPr>
        <w:t xml:space="preserve">质量标准：合格。  </w:t>
      </w:r>
      <w:r/>
    </w:p>
    <w:p>
      <w:pPr>
        <w:ind w:firstLine="480"/>
        <w:spacing w:line="360" w:lineRule="auto"/>
        <w:rPr>
          <w:rFonts w:hint="eastAsia" w:ascii="宋体" w:hAnsi="宋体" w:cs="宋体"/>
          <w:sz w:val="24"/>
          <w:highlight w:val="none"/>
        </w:rPr>
      </w:pPr>
      <w:r/>
      <w:bookmarkStart w:id="13" w:name="_Toc35393791"/>
      <w:r/>
      <w:bookmarkStart w:id="14" w:name="_Toc28359003"/>
      <w:r/>
      <w:bookmarkStart w:id="15" w:name="_Toc38985264"/>
      <w:r/>
      <w:bookmarkStart w:id="16" w:name="_Toc28359080"/>
      <w:r/>
      <w:bookmarkStart w:id="17" w:name="_Toc35393622"/>
      <w:r>
        <w:rPr>
          <w:rFonts w:hint="eastAsia" w:ascii="宋体" w:hAnsi="宋体" w:cs="宋体"/>
          <w:sz w:val="24"/>
          <w:highlight w:val="none"/>
        </w:rPr>
        <w:t xml:space="preserve">10.项目地点(交货地点)：滨海县范围内，采购人指定地点。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color w:val="000000"/>
          <w:sz w:val="24"/>
          <w:highlight w:val="none"/>
        </w:rPr>
        <w:t xml:space="preserve">非单一产品采购项目的核心产品：</w:t>
      </w:r>
      <w:r>
        <w:rPr>
          <w:rFonts w:hint="eastAsia" w:ascii="宋体" w:hAnsi="宋体" w:cs="宋体"/>
          <w:color w:val="000000"/>
          <w:sz w:val="24"/>
          <w:highlight w:val="none"/>
          <w:u w:val="single"/>
        </w:rPr>
        <w:t xml:space="preserve">无人机</w:t>
      </w:r>
      <w:r>
        <w:rPr>
          <w:rFonts w:hint="eastAsia" w:ascii="宋体" w:hAnsi="宋体" w:cs="宋体"/>
          <w:color w:val="000000"/>
          <w:sz w:val="24"/>
          <w:highlight w:val="none"/>
        </w:rPr>
        <w:t xml:space="preserve">。 </w:t>
      </w:r>
      <w:r/>
    </w:p>
    <w:p>
      <w:pPr>
        <w:pStyle w:val="929"/>
        <w:ind w:firstLine="482"/>
        <w:jc w:val="both"/>
        <w:spacing w:beforeAutospacing="0" w:afterAutospacing="0" w:line="360" w:lineRule="auto"/>
        <w:rPr>
          <w:highlight w:val="none"/>
        </w:rPr>
      </w:pPr>
      <w:r>
        <w:rPr>
          <w:rFonts w:hint="eastAsia" w:ascii="宋体" w:hAnsi="宋体" w:cs="宋体"/>
          <w:highlight w:val="none"/>
          <w:shd w:val="clear" w:color="auto" w:fill="ffffff"/>
        </w:rPr>
        <w:t xml:space="preserve">12.本项目</w:t>
      </w:r>
      <w:r>
        <w:rPr>
          <w:rFonts w:hint="eastAsia" w:ascii="宋体" w:hAnsi="宋体" w:cs="宋体"/>
          <w:highlight w:val="none"/>
          <w:u w:val="single"/>
          <w:shd w:val="clear" w:color="auto" w:fill="ffffff"/>
        </w:rPr>
        <w:t xml:space="preserve">不接受</w:t>
      </w:r>
      <w:r>
        <w:rPr>
          <w:rFonts w:hint="eastAsia" w:ascii="宋体" w:hAnsi="宋体" w:cs="宋体"/>
          <w:highlight w:val="none"/>
          <w:shd w:val="clear" w:color="auto" w:fill="ffffff"/>
        </w:rPr>
        <w:t xml:space="preserve">联合体</w:t>
      </w:r>
      <w:r>
        <w:rPr>
          <w:rFonts w:hint="eastAsia" w:ascii="宋体" w:hAnsi="宋体" w:cs="宋体"/>
          <w:highlight w:val="none"/>
        </w:rPr>
        <w:t xml:space="preserve">参与投标。</w:t>
      </w:r>
      <w:r/>
    </w:p>
    <w:p>
      <w:pPr>
        <w:pStyle w:val="929"/>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二、申请人的资格要求：</w:t>
      </w:r>
      <w:bookmarkEnd w:id="13"/>
      <w:r/>
      <w:bookmarkEnd w:id="14"/>
      <w:r/>
      <w:bookmarkEnd w:id="15"/>
      <w:r/>
      <w:bookmarkEnd w:id="16"/>
      <w:r/>
      <w:bookmarkEnd w:id="17"/>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1.满足《中华人民共和国政府采购法》第二十二条规定，并提供下列材料：</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 法人或者其他组织的营业执照等证明文件，自然人的身份证明；</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1.2上一年度的财务状况报告（至少提供资产负债表、利润表、现金流量表，成立不满一年无需提供）；</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1.3具备履行合同所必需的设备和专业技术能力的书面声明；</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1.5参加政府采购活动前3年内在经营活动中没有重大违法记录的书面声明。</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1.6法律、行政法规规定的其他条件。</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1.8单位负责人为同一人或者存在直接控股、管理关系的不同供应商，不得参加同一合同项下的政府采购活动。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2.落实政府采购政策需满足的资格要求：</w:t>
      </w:r>
      <w:r>
        <w:rPr>
          <w:rFonts w:hint="eastAsia" w:ascii="宋体" w:hAnsi="宋体" w:cs="宋体"/>
          <w:highlight w:val="none"/>
          <w:u w:val="single"/>
        </w:rPr>
        <w:t xml:space="preserve">无</w:t>
      </w:r>
      <w:r>
        <w:rPr>
          <w:rFonts w:hint="eastAsia" w:ascii="宋体" w:hAnsi="宋体" w:cs="宋体"/>
          <w:highlight w:val="none"/>
        </w:rPr>
        <w:t xml:space="preserve">。</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3.本项目的特定资格要求：</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3.1投标人须具有建设行政主管部门核发有效的电子与智能化工程专业承包贰级及以上资质且取得安全生产许可证。</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3.2本项目不接受联合体参与投标。</w:t>
      </w:r>
      <w:r/>
    </w:p>
    <w:p>
      <w:pPr>
        <w:pStyle w:val="929"/>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三、获取招标文件</w:t>
      </w:r>
      <w:r/>
    </w:p>
    <w:p>
      <w:pPr>
        <w:pStyle w:val="929"/>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 w:name="_Toc35393793"/>
      <w:r/>
      <w:bookmarkStart w:id="19" w:name="_Toc38985266"/>
      <w:r/>
      <w:bookmarkStart w:id="20" w:name="_Toc28359082"/>
      <w:r/>
      <w:bookmarkStart w:id="21" w:name="_Toc35393624"/>
      <w:r/>
      <w:bookmarkStart w:id="22" w:name="_Toc28359005"/>
      <w:r>
        <w:rPr>
          <w:rFonts w:hint="eastAsia" w:ascii="宋体" w:hAnsi="宋体" w:cs="宋体"/>
          <w:highlight w:val="none"/>
        </w:rPr>
        <w:t xml:space="preserve">1.时间：</w:t>
      </w:r>
      <w:bookmarkEnd w:id="18"/>
      <w:r/>
      <w:bookmarkEnd w:id="19"/>
      <w:r/>
      <w:bookmarkEnd w:id="20"/>
      <w:r/>
      <w:bookmarkEnd w:id="21"/>
      <w:r/>
      <w:bookmarkEnd w:id="22"/>
      <w:r>
        <w:rPr>
          <w:rFonts w:hint="eastAsia" w:ascii="宋体" w:hAnsi="宋体" w:cs="宋体"/>
          <w:highlight w:val="none"/>
        </w:rPr>
        <w:t xml:space="preserve">自招标文件公告发布之日起5个工作日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2.地点：“苏采云”系统内免费下载（投标人必须在苏采云系统中获取采购文件，方能参与政府采购项目）；</w:t>
      </w:r>
      <w:r/>
    </w:p>
    <w:p>
      <w:pPr>
        <w:pStyle w:val="929"/>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3.方式：本项目采用网上注册登记方式。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4.售价：0元</w:t>
      </w:r>
      <w:r/>
    </w:p>
    <w:p>
      <w:pPr>
        <w:pStyle w:val="929"/>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四、提交投标文件截止时间、开标时间和地点</w:t>
      </w:r>
      <w:r/>
    </w:p>
    <w:p>
      <w:pPr>
        <w:pStyle w:val="929"/>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1.时间：</w:t>
      </w:r>
      <w:r>
        <w:rPr>
          <w:rFonts w:hint="eastAsia" w:ascii="宋体" w:hAnsi="宋体" w:cs="宋体"/>
          <w:highlight w:val="none"/>
          <w:u w:val="single"/>
        </w:rPr>
        <w:t xml:space="preserve">2026年6月</w:t>
      </w:r>
      <w:r>
        <w:rPr>
          <w:rFonts w:hint="eastAsia" w:ascii="宋体" w:hAnsi="宋体" w:cs="宋体"/>
          <w:highlight w:val="none"/>
          <w:u w:val="single"/>
          <w:lang w:val="en-US" w:eastAsia="zh-CN"/>
        </w:rPr>
        <w:t xml:space="preserve">16</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时00分00秒。</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2.地点：苏采云“不见面”开标大厅 。</w:t>
      </w:r>
      <w:r/>
    </w:p>
    <w:p>
      <w:pPr>
        <w:pStyle w:val="929"/>
        <w:ind w:firstLine="498"/>
        <w:jc w:val="both"/>
        <w:keepLines/>
        <w:keepNext/>
        <w:spacing w:before="145" w:beforeAutospacing="0" w:after="145" w:afterAutospacing="0" w:line="360" w:lineRule="auto"/>
        <w:rPr>
          <w:rFonts w:hint="eastAsia" w:ascii="宋体" w:hAnsi="宋体" w:cs="宋体"/>
          <w:highlight w:val="none"/>
        </w:rPr>
      </w:pPr>
      <w:r/>
      <w:bookmarkStart w:id="23" w:name="_Toc28359084"/>
      <w:r/>
      <w:bookmarkStart w:id="24" w:name="_Toc35393794"/>
      <w:r/>
      <w:bookmarkStart w:id="25" w:name="_Toc38985267"/>
      <w:r/>
      <w:bookmarkStart w:id="26" w:name="_Toc28359007"/>
      <w:r/>
      <w:bookmarkStart w:id="27" w:name="_Toc35393625"/>
      <w:r>
        <w:rPr>
          <w:rFonts w:hint="eastAsia" w:ascii="宋体" w:hAnsi="宋体" w:cs="宋体"/>
          <w:b/>
          <w:highlight w:val="none"/>
        </w:rPr>
        <w:t xml:space="preserve">五、公告期限</w:t>
      </w:r>
      <w:bookmarkEnd w:id="23"/>
      <w:r/>
      <w:bookmarkEnd w:id="24"/>
      <w:r/>
      <w:bookmarkEnd w:id="25"/>
      <w:r/>
      <w:bookmarkEnd w:id="26"/>
      <w:r/>
      <w:bookmarkEnd w:id="27"/>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8985268"/>
      <w:r/>
      <w:bookmarkStart w:id="30" w:name="_Toc35393626"/>
      <w:r>
        <w:rPr>
          <w:rFonts w:hint="eastAsia" w:ascii="宋体" w:hAnsi="宋体" w:cs="宋体"/>
          <w:highlight w:val="none"/>
          <w:shd w:val="clear" w:color="auto" w:fill="ffffff"/>
        </w:rPr>
        <w:t xml:space="preserve">自本公告发布之日起5个工作日。</w:t>
      </w:r>
      <w:bookmarkEnd w:id="28"/>
      <w:r/>
      <w:bookmarkEnd w:id="29"/>
      <w:r/>
      <w:bookmarkEnd w:id="30"/>
      <w:r/>
      <w:r/>
    </w:p>
    <w:p>
      <w:pPr>
        <w:pStyle w:val="929"/>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六、其他补充事宜</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2.潜在供应商访问电子招标响应交易平台的网络地址和方法： </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2.2 潜在投标人访问“苏采云”系统方法：江苏省政府采购网首页-“苏采云”链接。 </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2.3 采购文件（后缀名为“.kedt”）、供应商操作手册及政府采购客户端 工具可通过“苏采云”系统相应链接进行下载。 </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2.4 采购代理机构将数据电文形式的采购文件加载至“苏采云”系统，供潜在供应商下载或者查阅。 </w:t>
      </w:r>
      <w:r/>
    </w:p>
    <w:p>
      <w:pPr>
        <w:pStyle w:val="929"/>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rPr>
        <w:t xml:space="preserve">如潜在投标人未按上述要求操作，将自行承担所产生的风险。</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3.有关本次招标的事项若存在变动或修改，敬请及时关注采购人在“</w:t>
      </w:r>
      <w:r>
        <w:rPr>
          <w:rFonts w:hint="eastAsia" w:ascii="宋体" w:hAnsi="宋体" w:cs="宋体"/>
          <w:highlight w:val="none"/>
        </w:rPr>
        <w:t xml:space="preserve">中国政府采购网”“</w:t>
      </w:r>
      <w:r>
        <w:rPr>
          <w:rFonts w:hint="eastAsia" w:ascii="宋体" w:hAnsi="宋体" w:cs="宋体"/>
          <w:highlight w:val="none"/>
          <w:shd w:val="clear" w:color="auto" w:fill="ffffff"/>
        </w:rPr>
        <w:t xml:space="preserve">江苏政府采购网”“盐城市政府采购网”发布的更正公告。</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4.本次招标不收取投标保证金，不收取质量保证金。</w:t>
      </w:r>
      <w:r/>
    </w:p>
    <w:p>
      <w:pPr>
        <w:pStyle w:val="919"/>
        <w:ind w:firstLine="480"/>
        <w:jc w:val="both"/>
        <w:spacing w:before="0" w:beforeAutospacing="0" w:after="0" w:afterAutospacing="0" w:line="360" w:lineRule="auto"/>
        <w:shd w:val="clear" w:color="auto" w:fill="ffffff"/>
        <w:widowControl/>
        <w:rPr>
          <w:rFonts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cs="宋体"/>
          <w:b w:val="0"/>
          <w:bCs w:val="0"/>
          <w:sz w:val="24"/>
          <w:szCs w:val="24"/>
          <w:highlight w:val="none"/>
          <w:shd w:val="clear" w:color="auto" w:fill="ffffff"/>
        </w:rPr>
        <w:t xml:space="preserve">七、对本次招标提出询问，请按以下方式联系。</w:t>
      </w:r>
      <w:bookmarkEnd w:id="31"/>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1.采购人信息</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 滨海县公安局</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 江苏省盐城市滨海县世纪大道6号</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 系人：李先生       </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联系电话：15151021616          </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2.采购代理机构信息</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称：盐城载鑫项目管理咨询有限公司 </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址：盐城市滨海县港城路358号华芳国际花园3号楼202室</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联系人：南女士                     </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联系方式：13770130866                 </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3.项目联系方式</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项目联系人：李先生</w:t>
      </w:r>
      <w:r/>
    </w:p>
    <w:p>
      <w:pPr>
        <w:pStyle w:val="929"/>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电　　 话：15151021616　　　　　　　　　　　</w:t>
      </w:r>
      <w:r/>
    </w:p>
    <w:p>
      <w:pPr>
        <w:jc w:val="center"/>
        <w:spacing w:line="360" w:lineRule="auto"/>
        <w:rPr>
          <w:highlight w:val="none"/>
        </w:rPr>
      </w:pPr>
      <w:r>
        <w:rPr>
          <w:rFonts w:hint="eastAsia" w:ascii="宋体" w:hAnsi="宋体" w:cs="宋体"/>
          <w:sz w:val="24"/>
          <w:highlight w:val="none"/>
        </w:rPr>
        <w:br w:type="page" w:clear="all"/>
      </w:r>
      <w:bookmarkStart w:id="32" w:name="_Toc120614211"/>
      <w:r>
        <w:rPr>
          <w:rFonts w:hint="eastAsia" w:ascii="黑体" w:hAnsi="宋体" w:eastAsia="黑体" w:cs="黑体"/>
          <w:b/>
          <w:sz w:val="44"/>
          <w:szCs w:val="44"/>
          <w:highlight w:val="none"/>
        </w:rPr>
        <w:t xml:space="preserve">第二章  </w:t>
      </w:r>
      <w:bookmarkEnd w:id="32"/>
      <w:r/>
      <w:bookmarkStart w:id="33" w:name="_Toc20823274"/>
      <w:r/>
      <w:bookmarkStart w:id="34" w:name="_Toc120614213"/>
      <w:r/>
      <w:bookmarkStart w:id="35" w:name="_Toc513029202"/>
      <w:r/>
      <w:bookmarkStart w:id="36" w:name="_Toc16938518"/>
      <w:r>
        <w:rPr>
          <w:rFonts w:hint="eastAsia" w:ascii="黑体" w:hAnsi="宋体" w:eastAsia="黑体" w:cs="黑体"/>
          <w:b/>
          <w:sz w:val="44"/>
          <w:szCs w:val="44"/>
          <w:highlight w:val="none"/>
        </w:rPr>
        <w:t xml:space="preserve">投标人须知</w:t>
      </w:r>
      <w:bookmarkEnd w:id="33"/>
      <w:r/>
      <w:bookmarkEnd w:id="34"/>
      <w:r/>
      <w:bookmarkEnd w:id="35"/>
      <w:r/>
      <w:bookmarkEnd w:id="36"/>
      <w:r/>
      <w:r/>
    </w:p>
    <w:p>
      <w:pPr>
        <w:pStyle w:val="929"/>
        <w:ind w:firstLine="498"/>
        <w:jc w:val="both"/>
        <w:keepLines/>
        <w:keepNext/>
        <w:spacing w:before="145" w:beforeAutospacing="0" w:after="145" w:afterAutospacing="0" w:line="360" w:lineRule="auto"/>
        <w:rPr>
          <w:rFonts w:hint="eastAsia" w:ascii="宋体" w:hAnsi="宋体" w:cs="宋体"/>
          <w:highlight w:val="none"/>
        </w:rPr>
      </w:pPr>
      <w:r/>
      <w:bookmarkStart w:id="37" w:name="_Toc16938519"/>
      <w:r/>
      <w:bookmarkStart w:id="38" w:name="_Toc513029203"/>
      <w:r/>
      <w:bookmarkStart w:id="39" w:name="_Toc20823275"/>
      <w:r/>
      <w:bookmarkStart w:id="40" w:name="_Toc120614214"/>
      <w:r>
        <w:rPr>
          <w:rFonts w:hint="eastAsia" w:ascii="宋体" w:hAnsi="宋体" w:cs="宋体"/>
          <w:b/>
          <w:highlight w:val="none"/>
        </w:rPr>
        <w:t xml:space="preserve">一、总则</w:t>
      </w:r>
      <w:bookmarkEnd w:id="37"/>
      <w:r/>
      <w:bookmarkEnd w:id="38"/>
      <w:r/>
      <w:bookmarkEnd w:id="39"/>
      <w:r/>
      <w:bookmarkEnd w:id="40"/>
      <w:r/>
      <w:r/>
    </w:p>
    <w:p>
      <w:pPr>
        <w:pStyle w:val="929"/>
        <w:ind w:firstLine="480"/>
        <w:jc w:val="both"/>
        <w:keepLines/>
        <w:keepNext/>
        <w:spacing w:beforeAutospacing="0" w:afterAutospacing="0" w:line="360" w:lineRule="auto"/>
        <w:rPr>
          <w:rFonts w:hint="eastAsia" w:ascii="宋体" w:hAnsi="宋体" w:cs="宋体"/>
          <w:highlight w:val="none"/>
        </w:rPr>
      </w:pPr>
      <w:r/>
      <w:bookmarkStart w:id="41" w:name="_Toc20823276"/>
      <w:r/>
      <w:bookmarkStart w:id="42" w:name="_Toc513029204"/>
      <w:r/>
      <w:bookmarkStart w:id="43" w:name="_Toc16938520"/>
      <w:r/>
      <w:bookmarkStart w:id="44" w:name="_Toc458694821"/>
      <w:r/>
      <w:bookmarkStart w:id="45" w:name="_Hlt16619475"/>
      <w:r>
        <w:rPr>
          <w:rFonts w:hint="eastAsia" w:ascii="宋体" w:hAnsi="宋体" w:cs="宋体"/>
          <w:highlight w:val="none"/>
        </w:rPr>
        <w:t xml:space="preserve">1</w:t>
      </w:r>
      <w:bookmarkEnd w:id="41"/>
      <w:r>
        <w:rPr>
          <w:rFonts w:hint="eastAsia" w:ascii="宋体" w:hAnsi="宋体" w:cs="宋体"/>
          <w:highlight w:val="none"/>
        </w:rPr>
        <w:t xml:space="preserve">.招标方式</w:t>
      </w:r>
      <w:bookmarkEnd w:id="42"/>
      <w:r/>
      <w:bookmarkEnd w:id="43"/>
      <w:r/>
      <w:bookmarkEnd w:id="44"/>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 本次招标采取公开招标方式，本招标文件仅适用于招标公告中所述项目。</w:t>
      </w:r>
      <w:r/>
    </w:p>
    <w:p>
      <w:pPr>
        <w:pStyle w:val="929"/>
        <w:ind w:firstLine="480"/>
        <w:jc w:val="both"/>
        <w:keepLines/>
        <w:keepNext/>
        <w:spacing w:beforeAutospacing="0" w:afterAutospacing="0" w:line="360" w:lineRule="auto"/>
        <w:rPr>
          <w:rFonts w:hint="eastAsia" w:ascii="宋体" w:hAnsi="宋体" w:cs="宋体"/>
          <w:highlight w:val="none"/>
        </w:rPr>
      </w:pPr>
      <w:r/>
      <w:bookmarkStart w:id="46" w:name="_Toc513029205"/>
      <w:r/>
      <w:bookmarkStart w:id="47" w:name="_Toc20823277"/>
      <w:r/>
      <w:bookmarkStart w:id="48" w:name="_Toc16938521"/>
      <w:r>
        <w:rPr>
          <w:rFonts w:hint="eastAsia" w:ascii="宋体" w:hAnsi="宋体" w:cs="宋体"/>
          <w:highlight w:val="none"/>
        </w:rPr>
        <w:t xml:space="preserve">2.合格的投标人</w:t>
      </w:r>
      <w:bookmarkEnd w:id="46"/>
      <w:r/>
      <w:bookmarkEnd w:id="47"/>
      <w:r/>
      <w:bookmarkEnd w:id="48"/>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2.1满足招标公告中供应商的资格要求的规定。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 满足本文件实质性要求和条件的规定。</w:t>
      </w:r>
      <w:r/>
    </w:p>
    <w:p>
      <w:pPr>
        <w:pStyle w:val="929"/>
        <w:ind w:firstLine="480"/>
        <w:jc w:val="both"/>
        <w:keepLines/>
        <w:keepNext/>
        <w:spacing w:beforeAutospacing="0" w:afterAutospacing="0" w:line="360" w:lineRule="auto"/>
        <w:rPr>
          <w:rFonts w:hint="eastAsia" w:ascii="宋体" w:hAnsi="宋体" w:cs="宋体"/>
          <w:highlight w:val="none"/>
        </w:rPr>
      </w:pPr>
      <w:r/>
      <w:bookmarkStart w:id="49" w:name="_Toc20823279"/>
      <w:r/>
      <w:bookmarkStart w:id="50" w:name="_Toc513029207"/>
      <w:r/>
      <w:bookmarkStart w:id="51" w:name="_Toc16938523"/>
      <w:r/>
      <w:bookmarkStart w:id="52" w:name="_Toc462564067"/>
      <w:r>
        <w:rPr>
          <w:rFonts w:hint="eastAsia" w:ascii="宋体" w:hAnsi="宋体" w:cs="宋体"/>
          <w:highlight w:val="none"/>
        </w:rPr>
        <w:t xml:space="preserve">3、适用法律和标准</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3.1 本次招标及由此产生的合同受中华人民共和国有关的法律法规制约和保护。</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3.2 在本项目政府采购活动过程中，如果所执行的标准有更新的，按照最新标准执行。</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4.投标费用</w:t>
      </w:r>
      <w:bookmarkEnd w:id="49"/>
      <w:r/>
      <w:bookmarkEnd w:id="50"/>
      <w:r/>
      <w:bookmarkEnd w:id="51"/>
      <w:r/>
      <w:bookmarkEnd w:id="52"/>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投标人应自行承担所有与参加投标有关的费用，无论投标过程中的做法和结果如何，采购人在任何情况下均无义务和责任承担这些费用。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4.2本次招标招标代理和采购人不收取标书工本费。</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5.招标文件的约束力</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5.1 投标人一旦参加本项目采购活动，即被认为接受了本招标文件的规定和约束。</w:t>
      </w:r>
      <w:r/>
    </w:p>
    <w:p>
      <w:pPr>
        <w:pStyle w:val="929"/>
        <w:ind w:firstLine="321"/>
        <w:jc w:val="both"/>
        <w:keepLines/>
        <w:keepNext/>
        <w:spacing w:before="145" w:beforeAutospacing="0" w:after="145" w:afterAutospacing="0" w:line="360" w:lineRule="auto"/>
        <w:rPr>
          <w:rFonts w:hint="eastAsia" w:ascii="宋体" w:hAnsi="宋体" w:cs="宋体"/>
          <w:highlight w:val="none"/>
        </w:rPr>
      </w:pPr>
      <w:r/>
      <w:bookmarkStart w:id="53" w:name="_Toc120614215"/>
      <w:r/>
      <w:bookmarkStart w:id="54" w:name="_Toc20823281"/>
      <w:r/>
      <w:bookmarkStart w:id="55" w:name="_Toc513029209"/>
      <w:r/>
      <w:bookmarkStart w:id="56" w:name="_Toc16938525"/>
      <w:r>
        <w:rPr>
          <w:rFonts w:hint="eastAsia" w:ascii="宋体" w:hAnsi="宋体" w:cs="宋体"/>
          <w:b/>
          <w:highlight w:val="none"/>
        </w:rPr>
        <w:t xml:space="preserve">二、招标文件</w:t>
      </w:r>
      <w:bookmarkEnd w:id="53"/>
      <w:r/>
      <w:bookmarkEnd w:id="54"/>
      <w:r/>
      <w:bookmarkEnd w:id="55"/>
      <w:r/>
      <w:bookmarkEnd w:id="56"/>
      <w:r/>
      <w:r/>
    </w:p>
    <w:p>
      <w:pPr>
        <w:pStyle w:val="929"/>
        <w:ind w:firstLine="480"/>
        <w:jc w:val="both"/>
        <w:keepLines/>
        <w:keepNext/>
        <w:spacing w:beforeAutospacing="0" w:afterAutospacing="0" w:line="360" w:lineRule="auto"/>
        <w:rPr>
          <w:rFonts w:hint="eastAsia" w:ascii="宋体" w:hAnsi="宋体" w:cs="宋体"/>
          <w:highlight w:val="none"/>
        </w:rPr>
      </w:pPr>
      <w:r/>
      <w:bookmarkStart w:id="57" w:name="_Toc513029210"/>
      <w:r/>
      <w:bookmarkStart w:id="58" w:name="_Toc20823282"/>
      <w:r/>
      <w:bookmarkStart w:id="59" w:name="_Toc16938526"/>
      <w:r>
        <w:rPr>
          <w:rFonts w:hint="eastAsia" w:ascii="宋体" w:hAnsi="宋体" w:cs="宋体"/>
          <w:highlight w:val="none"/>
        </w:rPr>
        <w:t xml:space="preserve">6.招标文件构成</w:t>
      </w:r>
      <w:bookmarkEnd w:id="57"/>
      <w:r/>
      <w:bookmarkEnd w:id="58"/>
      <w:r/>
      <w:bookmarkEnd w:id="59"/>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6.1 招标文件由以下部分组成：</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（1）招标公告</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（2）投标人须知</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（3）合同文本</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（4）采购需求</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（5）评标方法与评标标准</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（6）投标文件格式</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请仔细检查招标文件是否齐全，如有缺漏请立即与采购人联系解决。</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9"/>
        <w:ind w:firstLine="480"/>
        <w:jc w:val="both"/>
        <w:keepLines/>
        <w:keepNext/>
        <w:spacing w:beforeAutospacing="0" w:afterAutospacing="0" w:line="360" w:lineRule="auto"/>
        <w:rPr>
          <w:rFonts w:hint="eastAsia" w:ascii="宋体" w:hAnsi="宋体" w:cs="宋体"/>
          <w:highlight w:val="none"/>
        </w:rPr>
      </w:pPr>
      <w:r/>
      <w:bookmarkStart w:id="60" w:name="_Toc462564070"/>
      <w:r/>
      <w:bookmarkStart w:id="61" w:name="_Toc20823283"/>
      <w:r/>
      <w:bookmarkStart w:id="62" w:name="_Toc16938527"/>
      <w:r/>
      <w:bookmarkStart w:id="63" w:name="_Toc513029211"/>
      <w:r>
        <w:rPr>
          <w:rFonts w:hint="eastAsia" w:ascii="宋体" w:hAnsi="宋体" w:cs="宋体"/>
          <w:highlight w:val="none"/>
        </w:rPr>
        <w:t xml:space="preserve">7.招标文件的澄清</w:t>
      </w:r>
      <w:bookmarkEnd w:id="60"/>
      <w:r/>
      <w:bookmarkEnd w:id="61"/>
      <w:r/>
      <w:bookmarkEnd w:id="62"/>
      <w:r/>
      <w:bookmarkEnd w:id="63"/>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7.1 任何要求对招标文件进行澄清的投标人，应在投标截止期</w:t>
      </w:r>
      <w:r>
        <w:rPr>
          <w:rFonts w:hint="eastAsia" w:ascii="宋体" w:hAnsi="宋体" w:cs="宋体"/>
          <w:b/>
          <w:highlight w:val="none"/>
        </w:rPr>
        <w:t xml:space="preserve">十日</w:t>
      </w:r>
      <w:r>
        <w:rPr>
          <w:rFonts w:hint="eastAsia" w:ascii="宋体" w:hAnsi="宋体" w:cs="宋体"/>
          <w:highlight w:val="none"/>
        </w:rPr>
        <w:t xml:space="preserve">前按招标公告中的通讯地址，以书面形式通知采购人。</w:t>
      </w:r>
      <w:r/>
    </w:p>
    <w:p>
      <w:pPr>
        <w:pStyle w:val="929"/>
        <w:ind w:firstLine="480"/>
        <w:jc w:val="both"/>
        <w:keepLines/>
        <w:keepNext/>
        <w:spacing w:beforeAutospacing="0" w:afterAutospacing="0" w:line="360" w:lineRule="auto"/>
        <w:rPr>
          <w:rFonts w:hint="eastAsia" w:ascii="宋体" w:hAnsi="宋体" w:cs="宋体"/>
          <w:highlight w:val="none"/>
        </w:rPr>
      </w:pPr>
      <w:r/>
      <w:bookmarkStart w:id="64" w:name="_Toc16938528"/>
      <w:r/>
      <w:bookmarkStart w:id="65" w:name="_Toc513029212"/>
      <w:r/>
      <w:bookmarkStart w:id="66" w:name="_Toc20823284"/>
      <w:r/>
      <w:bookmarkStart w:id="67" w:name="_Toc462564071"/>
      <w:r>
        <w:rPr>
          <w:rFonts w:hint="eastAsia" w:ascii="宋体" w:hAnsi="宋体" w:cs="宋体"/>
          <w:highlight w:val="none"/>
        </w:rPr>
        <w:t xml:space="preserve">8.招标文件的修改</w:t>
      </w:r>
      <w:bookmarkEnd w:id="64"/>
      <w:r/>
      <w:bookmarkEnd w:id="65"/>
      <w:r/>
      <w:bookmarkEnd w:id="66"/>
      <w:r/>
      <w:bookmarkEnd w:id="67"/>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8.1 在投标截止时间前，采购人可以对招标文件进行修改。</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8.2 采购人有权按照法定的要求推迟投标截止日期和开标日期。</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8.3 招标文件的修改将在中国政府采购网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江苏政府采购网、盐城市政府采购网公布，补充文件将作为招标文件的组成部分，并对投标人具有约束力。</w:t>
      </w:r>
      <w:r/>
    </w:p>
    <w:p>
      <w:pPr>
        <w:pStyle w:val="929"/>
        <w:ind w:firstLine="482"/>
        <w:jc w:val="both"/>
        <w:keepLines/>
        <w:keepNext/>
        <w:spacing w:before="145" w:beforeAutospacing="0" w:after="145" w:afterAutospacing="0" w:line="360" w:lineRule="auto"/>
        <w:rPr>
          <w:rFonts w:hint="eastAsia" w:ascii="宋体" w:hAnsi="宋体" w:cs="宋体"/>
          <w:highlight w:val="none"/>
        </w:rPr>
      </w:pPr>
      <w:r/>
      <w:bookmarkStart w:id="68" w:name="_Toc16938529"/>
      <w:r/>
      <w:bookmarkStart w:id="69" w:name="_Toc513029213"/>
      <w:r/>
      <w:bookmarkStart w:id="70" w:name="_Toc120614216"/>
      <w:r/>
      <w:bookmarkStart w:id="71" w:name="_Toc20823285"/>
      <w:r/>
      <w:bookmarkStart w:id="72" w:name="_Toc462564072"/>
      <w:r>
        <w:rPr>
          <w:rFonts w:hint="eastAsia" w:ascii="宋体" w:hAnsi="宋体" w:cs="宋体"/>
          <w:b/>
          <w:highlight w:val="none"/>
        </w:rPr>
        <w:t xml:space="preserve">三、投标文件的编制</w:t>
      </w:r>
      <w:bookmarkEnd w:id="68"/>
      <w:r/>
      <w:bookmarkEnd w:id="69"/>
      <w:r/>
      <w:bookmarkEnd w:id="70"/>
      <w:r/>
      <w:bookmarkEnd w:id="71"/>
      <w:r/>
      <w:bookmarkEnd w:id="72"/>
      <w:r/>
      <w:r/>
    </w:p>
    <w:p>
      <w:pPr>
        <w:pStyle w:val="929"/>
        <w:ind w:firstLine="480"/>
        <w:jc w:val="both"/>
        <w:keepLines/>
        <w:keepNext/>
        <w:spacing w:beforeAutospacing="0" w:afterAutospacing="0" w:line="360" w:lineRule="auto"/>
        <w:rPr>
          <w:rFonts w:hint="eastAsia" w:ascii="宋体" w:hAnsi="宋体" w:cs="宋体"/>
          <w:highlight w:val="none"/>
        </w:rPr>
      </w:pPr>
      <w:r/>
      <w:bookmarkStart w:id="73" w:name="_Toc462564073"/>
      <w:r/>
      <w:bookmarkStart w:id="74" w:name="_Toc513029214"/>
      <w:r/>
      <w:bookmarkStart w:id="75" w:name="_Toc20823286"/>
      <w:r/>
      <w:bookmarkStart w:id="76" w:name="_Toc16938530"/>
      <w:r>
        <w:rPr>
          <w:rFonts w:hint="eastAsia" w:ascii="宋体" w:hAnsi="宋体" w:cs="宋体"/>
          <w:highlight w:val="none"/>
        </w:rPr>
        <w:t xml:space="preserve">9.投标文件的语言及度量衡单位</w:t>
      </w:r>
      <w:bookmarkEnd w:id="73"/>
      <w:r/>
      <w:bookmarkEnd w:id="74"/>
      <w:r/>
      <w:bookmarkEnd w:id="75"/>
      <w:r/>
      <w:bookmarkEnd w:id="76"/>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9.1 投标人提交的投标文件以及投标人与采购人就有关投标的所有来往通知、函件和文件均应使用</w:t>
      </w:r>
      <w:r>
        <w:rPr>
          <w:rFonts w:hint="eastAsia" w:ascii="宋体" w:hAnsi="宋体" w:cs="宋体"/>
          <w:b/>
          <w:highlight w:val="none"/>
        </w:rPr>
        <w:t xml:space="preserve">简体中文</w:t>
      </w:r>
      <w:r>
        <w:rPr>
          <w:rFonts w:hint="eastAsia" w:ascii="宋体" w:hAnsi="宋体" w:cs="宋体"/>
          <w:highlight w:val="none"/>
        </w:rPr>
        <w:t xml:space="preserve">。</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9.2 除技术性能另有规定外，投标文件所使用的度量衡单位，均须采用国家法定计量单位。</w:t>
      </w:r>
      <w:r/>
    </w:p>
    <w:p>
      <w:pPr>
        <w:pStyle w:val="929"/>
        <w:ind w:firstLine="480"/>
        <w:jc w:val="both"/>
        <w:keepLines/>
        <w:keepNext/>
        <w:spacing w:beforeAutospacing="0" w:afterAutospacing="0" w:line="360" w:lineRule="auto"/>
        <w:rPr>
          <w:rFonts w:hint="eastAsia" w:ascii="宋体" w:hAnsi="宋体" w:cs="宋体"/>
          <w:highlight w:val="none"/>
        </w:rPr>
      </w:pPr>
      <w:r/>
      <w:bookmarkStart w:id="77" w:name="_Toc513029215"/>
      <w:r/>
      <w:bookmarkStart w:id="78" w:name="_Toc462564074"/>
      <w:r/>
      <w:bookmarkStart w:id="79" w:name="_Toc20823287"/>
      <w:r/>
      <w:bookmarkStart w:id="80" w:name="_Toc16938531"/>
      <w:r>
        <w:rPr>
          <w:rFonts w:hint="eastAsia" w:ascii="宋体" w:hAnsi="宋体" w:cs="宋体"/>
          <w:highlight w:val="none"/>
        </w:rPr>
        <w:t xml:space="preserve">10.投标文件构成</w:t>
      </w:r>
      <w:bookmarkEnd w:id="77"/>
      <w:r/>
      <w:bookmarkEnd w:id="78"/>
      <w:r/>
      <w:bookmarkEnd w:id="79"/>
      <w:r/>
      <w:bookmarkEnd w:id="80"/>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10.2如标书制作工具中格式和内容与</w:t>
      </w:r>
      <w:r>
        <w:rPr>
          <w:rFonts w:hint="eastAsia" w:ascii="宋体" w:hAnsi="宋体" w:cs="宋体"/>
          <w:highlight w:val="none"/>
          <w:shd w:val="clear" w:color="auto" w:fill="ffffff"/>
        </w:rPr>
        <w:t xml:space="preserve">“</w:t>
      </w:r>
      <w:r>
        <w:rPr>
          <w:rFonts w:hint="eastAsia" w:ascii="宋体" w:hAnsi="宋体" w:cs="宋体"/>
          <w:highlight w:val="none"/>
        </w:rPr>
        <w:t xml:space="preserve">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发布的招标文件不一致，请以中国政府采购网”“江苏政府采购网”“盐城市政府采购网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发布的招标文件为准。</w:t>
      </w:r>
      <w:r/>
    </w:p>
    <w:p>
      <w:pPr>
        <w:pStyle w:val="929"/>
        <w:ind w:firstLine="480"/>
        <w:jc w:val="both"/>
        <w:keepLines/>
        <w:keepNext/>
        <w:spacing w:beforeAutospacing="0" w:afterAutospacing="0" w:line="360" w:lineRule="auto"/>
        <w:rPr>
          <w:rFonts w:hint="eastAsia" w:ascii="宋体" w:hAnsi="宋体" w:cs="宋体"/>
          <w:highlight w:val="none"/>
        </w:rPr>
      </w:pPr>
      <w:r/>
      <w:bookmarkStart w:id="81" w:name="_Toc14577354"/>
      <w:r/>
      <w:bookmarkStart w:id="82" w:name="_Toc513029219"/>
      <w:r/>
      <w:bookmarkStart w:id="83" w:name="_Toc14577357"/>
      <w:r/>
      <w:bookmarkStart w:id="84" w:name="_Toc49090509"/>
      <w:r/>
      <w:bookmarkStart w:id="85" w:name="_Toc513029216"/>
      <w:r/>
      <w:bookmarkStart w:id="86" w:name="_Toc49090507"/>
      <w:r/>
      <w:bookmarkStart w:id="87" w:name="_Toc14577355"/>
      <w:r/>
      <w:bookmarkStart w:id="88" w:name="_Toc49090508"/>
      <w:r/>
      <w:bookmarkStart w:id="89" w:name="_Hlt26670360"/>
      <w:r/>
      <w:bookmarkStart w:id="90" w:name="_Hlt26668975"/>
      <w:r/>
      <w:bookmarkStart w:id="91" w:name="_Hlt26954838"/>
      <w:r>
        <w:rPr>
          <w:rFonts w:hint="eastAsia" w:ascii="宋体" w:hAnsi="宋体" w:cs="宋体"/>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  11.1 投标人应按照招标文件要求提交证明文件，证明其及投标标的符合招标文件规定。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11.2招标文件对证明文件无明确形式要求的，证明文件可以以文字资料、图纸和数据等形式提交。</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12.投标分项报价表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12.1 招标报价采用总承包方式，投标报价是指投标人在正确地完全履行合同义务后采购人应支付的服务价格，投标人的报价应包括所投产品（含相关附配件、软件）费用、包装费、运输费、装卸费、安装调试费、集成费、测试费、培训费</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含不少于6人无人机培训及获取相关证书费用</w:t>
      </w:r>
      <w:r>
        <w:rPr>
          <w:rFonts w:hint="eastAsia" w:ascii="宋体" w:hAnsi="宋体" w:cs="宋体"/>
          <w:highlight w:val="none"/>
          <w:lang w:eastAsia="zh-CN"/>
        </w:rPr>
        <w:t xml:space="preserve">）</w:t>
      </w:r>
      <w:r>
        <w:rPr>
          <w:rFonts w:hint="eastAsia" w:ascii="宋体" w:hAnsi="宋体" w:cs="宋体"/>
          <w:highlight w:val="none"/>
        </w:rPr>
        <w:t xml:space="preserve">、验收费、售后服务费、投标费用、税金、招标代理服务费、</w:t>
      </w:r>
      <w:r>
        <w:rPr>
          <w:rFonts w:hint="eastAsia" w:ascii="宋体" w:hAnsi="宋体" w:cs="宋体"/>
          <w:highlight w:val="none"/>
          <w:lang w:val="en-US" w:eastAsia="zh-CN"/>
        </w:rPr>
        <w:t xml:space="preserve">无人机保险费（三责险、机身损害险、飞手意外险）、</w:t>
      </w:r>
      <w:r>
        <w:rPr>
          <w:rFonts w:hint="eastAsia" w:ascii="宋体" w:hAnsi="宋体" w:cs="宋体"/>
          <w:highlight w:val="none"/>
        </w:rPr>
        <w:t xml:space="preserve">各类风险费、管理费、利润、国际国内运输等保险费、报关清关、开证、办理全套免税手续费用及其他有关的为完成本项目发生的所有费用，招标文件中另有规定的除外。</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12.2投标货币。投标文件中的单价和总价无特殊规定的采用人民币报价，以元为单位标注。招标文件中另有规定的按规定执行。</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12.3本项目招标代理服务费依据《江苏省政府采购代理服务收费指导意见》的通知（苏政采〔2024〕20号）执行，采购人约定由中标人代采购人向招标代理机构一次性支付招标代理服务费即人民币108000元，投标人须将此费用纳入投标报价中，采购人不另行支付。</w:t>
      </w:r>
      <w:r/>
    </w:p>
    <w:p>
      <w:pPr>
        <w:pStyle w:val="929"/>
        <w:ind w:firstLine="480"/>
        <w:jc w:val="both"/>
        <w:keepLines/>
        <w:keepNext/>
        <w:spacing w:beforeAutospacing="0" w:afterAutospacing="0" w:line="360" w:lineRule="auto"/>
        <w:rPr>
          <w:rFonts w:hint="eastAsia" w:ascii="宋体" w:hAnsi="宋体" w:cs="宋体"/>
          <w:highlight w:val="none"/>
        </w:rPr>
      </w:pPr>
      <w:r/>
      <w:bookmarkStart w:id="92" w:name="_Hlt26670486"/>
      <w:r/>
      <w:bookmarkStart w:id="93" w:name="_Hlt26954846"/>
      <w:r/>
      <w:bookmarkStart w:id="94" w:name="_Hlt26954848"/>
      <w:r/>
      <w:bookmarkStart w:id="95" w:name="_Hlt26670482"/>
      <w:r/>
      <w:bookmarkStart w:id="96" w:name="_Hlt26954731"/>
      <w:r>
        <w:rPr>
          <w:rFonts w:hint="eastAsia" w:ascii="宋体" w:hAnsi="宋体" w:cs="宋体"/>
          <w:highlight w:val="none"/>
        </w:rPr>
        <w:t xml:space="preserve">13.技术要求响应及偏离表、商务要求响应及偏离表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13.1投标人需对招标文件中的技术要求与商务要求逐项作出响应或偏离，并说明原因。</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13.2 投标人可在投标文件中提供认为需要的其他技术文件或说明。</w:t>
      </w:r>
      <w:r/>
    </w:p>
    <w:p>
      <w:pPr>
        <w:pStyle w:val="929"/>
        <w:ind w:firstLine="480"/>
        <w:jc w:val="both"/>
        <w:keepLines/>
        <w:keepNext/>
        <w:spacing w:beforeAutospacing="0" w:afterAutospacing="0" w:line="360" w:lineRule="auto"/>
        <w:rPr>
          <w:rFonts w:hint="eastAsia" w:ascii="宋体" w:hAnsi="宋体" w:cs="宋体"/>
          <w:highlight w:val="none"/>
        </w:rPr>
      </w:pPr>
      <w:r/>
      <w:bookmarkStart w:id="97" w:name="_Toc14577359"/>
      <w:r/>
      <w:bookmarkStart w:id="98" w:name="_Toc49090510"/>
      <w:r>
        <w:rPr>
          <w:rFonts w:hint="eastAsia" w:ascii="宋体" w:hAnsi="宋体" w:cs="宋体"/>
          <w:highlight w:val="none"/>
        </w:rPr>
        <w:t xml:space="preserve">14.投标函和开标一览表</w:t>
      </w:r>
      <w:bookmarkEnd w:id="97"/>
      <w:r/>
      <w:bookmarkEnd w:id="98"/>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14.1 投标人应按照招标文件中提供的格式完整、正确填写投标函、开标一览表。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14.2 对于采用货币报价的项目，开标一览表中的投标总报价应与投标分项报价表中的投标总报价一致，如不一致，不作为无效投标处理，但评标时按开标一览表中价格为准。</w:t>
      </w:r>
      <w:r/>
    </w:p>
    <w:p>
      <w:pPr>
        <w:pStyle w:val="929"/>
        <w:ind w:firstLine="480"/>
        <w:jc w:val="both"/>
        <w:keepLines/>
        <w:keepNext/>
        <w:spacing w:beforeAutospacing="0" w:afterAutospacing="0" w:line="360" w:lineRule="auto"/>
        <w:rPr>
          <w:rFonts w:hint="eastAsia" w:ascii="宋体" w:hAnsi="宋体" w:cs="宋体"/>
          <w:highlight w:val="none"/>
        </w:rPr>
      </w:pPr>
      <w:r/>
      <w:bookmarkStart w:id="99" w:name="_Toc49090511"/>
      <w:r/>
      <w:bookmarkStart w:id="100" w:name="_Toc14577360"/>
      <w:r>
        <w:rPr>
          <w:rFonts w:hint="eastAsia" w:ascii="宋体" w:hAnsi="宋体" w:cs="宋体"/>
          <w:highlight w:val="none"/>
        </w:rPr>
        <w:t xml:space="preserve">15.投标有效期</w:t>
      </w:r>
      <w:bookmarkEnd w:id="99"/>
      <w:r/>
      <w:bookmarkEnd w:id="100"/>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15.1投标有效期为采购人规定的开标之日后</w:t>
      </w:r>
      <w:r>
        <w:rPr>
          <w:rFonts w:hint="eastAsia" w:ascii="宋体" w:hAnsi="宋体" w:cs="宋体"/>
          <w:b/>
          <w:highlight w:val="none"/>
          <w:u w:val="single"/>
        </w:rPr>
        <w:t xml:space="preserve">九十（90）天</w:t>
      </w:r>
      <w:r>
        <w:rPr>
          <w:rFonts w:hint="eastAsia" w:ascii="宋体" w:hAnsi="宋体" w:cs="宋体"/>
          <w:highlight w:val="none"/>
        </w:rPr>
        <w:t xml:space="preserve">。投标有效期比规定短的将被视为未实质性响应招标文件而予以拒绝。</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16.投标有效期的延长</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9"/>
        <w:ind w:firstLine="482"/>
        <w:jc w:val="both"/>
        <w:keepLines/>
        <w:keepNext/>
        <w:spacing w:before="145" w:beforeAutospacing="0" w:after="145" w:afterAutospacing="0" w:line="360" w:lineRule="auto"/>
        <w:rPr>
          <w:rFonts w:hint="eastAsia" w:ascii="宋体" w:hAnsi="宋体" w:cs="宋体"/>
          <w:highlight w:val="none"/>
        </w:rPr>
      </w:pPr>
      <w:r/>
      <w:bookmarkStart w:id="101" w:name="_Toc16938540"/>
      <w:r/>
      <w:bookmarkStart w:id="102" w:name="_Toc120614217"/>
      <w:r/>
      <w:bookmarkStart w:id="103" w:name="_Toc20823296"/>
      <w:r/>
      <w:bookmarkStart w:id="104" w:name="_Toc513029224"/>
      <w:r/>
      <w:bookmarkStart w:id="105" w:name="_Hlt26954852"/>
      <w:r/>
      <w:bookmarkStart w:id="106" w:name="_Hlt26954739"/>
      <w:r>
        <w:rPr>
          <w:rFonts w:hint="eastAsia" w:ascii="宋体" w:hAnsi="宋体" w:cs="宋体"/>
          <w:b/>
          <w:highlight w:val="none"/>
        </w:rPr>
        <w:t xml:space="preserve">四、投标文件的递交</w:t>
      </w:r>
      <w:bookmarkEnd w:id="101"/>
      <w:r/>
      <w:bookmarkEnd w:id="102"/>
      <w:r/>
      <w:bookmarkEnd w:id="103"/>
      <w:r/>
      <w:bookmarkEnd w:id="104"/>
      <w:r/>
      <w:r/>
    </w:p>
    <w:p>
      <w:pPr>
        <w:pStyle w:val="929"/>
        <w:ind w:firstLine="480"/>
        <w:jc w:val="both"/>
        <w:keepLines/>
        <w:keepNext/>
        <w:spacing w:beforeAutospacing="0" w:afterAutospacing="0" w:line="360" w:lineRule="auto"/>
        <w:rPr>
          <w:rFonts w:hint="eastAsia" w:ascii="宋体" w:hAnsi="宋体" w:cs="宋体"/>
          <w:highlight w:val="none"/>
        </w:rPr>
      </w:pPr>
      <w:r/>
      <w:bookmarkStart w:id="107" w:name="_Toc462564084"/>
      <w:r/>
      <w:bookmarkStart w:id="108" w:name="_Toc16938541"/>
      <w:r/>
      <w:bookmarkStart w:id="109" w:name="_Toc20823297"/>
      <w:r/>
      <w:bookmarkStart w:id="110" w:name="_Toc513029225"/>
      <w:r>
        <w:rPr>
          <w:rFonts w:hint="eastAsia" w:ascii="宋体" w:hAnsi="宋体" w:cs="宋体"/>
          <w:highlight w:val="none"/>
        </w:rPr>
        <w:t xml:space="preserve">17.电子投标文件</w:t>
      </w:r>
      <w:bookmarkEnd w:id="107"/>
      <w:r/>
      <w:bookmarkEnd w:id="108"/>
      <w:r/>
      <w:bookmarkEnd w:id="109"/>
      <w:r/>
      <w:bookmarkEnd w:id="110"/>
      <w:r>
        <w:rPr>
          <w:rFonts w:hint="eastAsia" w:ascii="宋体" w:hAnsi="宋体" w:cs="宋体"/>
          <w:highlight w:val="none"/>
        </w:rPr>
        <w:t xml:space="preserve">的递交</w:t>
      </w:r>
      <w:r/>
    </w:p>
    <w:p>
      <w:pPr>
        <w:pStyle w:val="929"/>
        <w:ind w:left="525"/>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17.1投标人应当按照《操作手册》规定，在投标截止时间前制作并上传电子</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投标文件。</w:t>
      </w:r>
      <w:bookmarkStart w:id="111" w:name="_Toc16938542"/>
      <w:r/>
      <w:bookmarkEnd w:id="111"/>
      <w:r/>
      <w:bookmarkStart w:id="112" w:name="_Toc20823298"/>
      <w:r/>
      <w:bookmarkEnd w:id="112"/>
      <w:r/>
      <w:bookmarkStart w:id="113" w:name="_Toc513029226"/>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18.投标截止日期</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i/>
          <w:highlight w:val="none"/>
          <w:u w:val="single"/>
        </w:rPr>
        <w:t xml:space="preserve">18.1 投标人上传电子投标文件的时间不得迟于招标公告中规定的投标截止时间。</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18.2采购人可以按照规定，通过修改招标文件酌情延长投标截止日期，在此情况下，投标人的所有权利和义务以及投标人受制的截止日期均应以延长后新的截止日期为准。</w:t>
      </w:r>
      <w:r/>
    </w:p>
    <w:p>
      <w:pPr>
        <w:pStyle w:val="929"/>
        <w:ind w:firstLine="480"/>
        <w:jc w:val="both"/>
        <w:keepLines/>
        <w:keepNext/>
        <w:spacing w:beforeAutospacing="0" w:afterAutospacing="0" w:line="360" w:lineRule="auto"/>
        <w:rPr>
          <w:rFonts w:hint="eastAsia" w:ascii="宋体" w:hAnsi="宋体" w:cs="宋体"/>
          <w:highlight w:val="none"/>
        </w:rPr>
      </w:pPr>
      <w:r/>
      <w:bookmarkStart w:id="114" w:name="_Toc20823299"/>
      <w:r/>
      <w:bookmarkStart w:id="115" w:name="_Toc513029227"/>
      <w:r/>
      <w:bookmarkStart w:id="116" w:name="_Toc16938543"/>
      <w:r>
        <w:rPr>
          <w:rFonts w:hint="eastAsia" w:ascii="宋体" w:hAnsi="宋体" w:cs="宋体"/>
          <w:highlight w:val="none"/>
        </w:rPr>
        <w:t xml:space="preserve">19.投标文件</w:t>
      </w:r>
      <w:bookmarkEnd w:id="114"/>
      <w:r/>
      <w:bookmarkEnd w:id="115"/>
      <w:r/>
      <w:bookmarkEnd w:id="116"/>
      <w:r>
        <w:rPr>
          <w:rFonts w:hint="eastAsia" w:ascii="宋体" w:hAnsi="宋体" w:cs="宋体"/>
          <w:highlight w:val="none"/>
        </w:rPr>
        <w:t xml:space="preserve">的拒收</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19.1 采购人拒绝接收在其规定的投标截止时间后上传的任何投标文件。</w:t>
      </w:r>
      <w:r/>
    </w:p>
    <w:p>
      <w:pPr>
        <w:pStyle w:val="929"/>
        <w:ind w:firstLine="480"/>
        <w:jc w:val="both"/>
        <w:keepLines/>
        <w:keepNext/>
        <w:spacing w:beforeAutospacing="0" w:afterAutospacing="0" w:line="360" w:lineRule="auto"/>
        <w:rPr>
          <w:rFonts w:hint="eastAsia" w:ascii="宋体" w:hAnsi="宋体" w:cs="宋体"/>
          <w:highlight w:val="none"/>
        </w:rPr>
      </w:pPr>
      <w:r/>
      <w:bookmarkStart w:id="117" w:name="_Toc16938544"/>
      <w:r/>
      <w:bookmarkStart w:id="118" w:name="_Toc513029228"/>
      <w:r/>
      <w:bookmarkStart w:id="119" w:name="_Toc20823300"/>
      <w:r>
        <w:rPr>
          <w:rFonts w:hint="eastAsia" w:ascii="宋体" w:hAnsi="宋体" w:cs="宋体"/>
          <w:highlight w:val="none"/>
        </w:rPr>
        <w:t xml:space="preserve">20.投标文件的撤回和修改</w:t>
      </w:r>
      <w:bookmarkEnd w:id="117"/>
      <w:r/>
      <w:bookmarkEnd w:id="118"/>
      <w:r/>
      <w:bookmarkEnd w:id="119"/>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 投标文件的撤回</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20.1.1 电子投标文件的撤回</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投标人可在投标截止时间前，撤回其电子投标文件，具体操作方法见《操作手册》。</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20.1.2 投标人撤回电子投标文件，则认为其不再参与本项目投标活动。</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 投标文件的修改</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20.2.1投标人可在投标截止时间前，对其电子投标文件进行修改，具体操作方法见《操作手册》。</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20.2.2 在投标截止时间之后，投标人不得对其电子投标文件作任何修改。</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20.3 在投标截止时间至招标文件中规定的投标有效期满之间的这段时间内，投标人不得撤回其投标。</w:t>
      </w:r>
      <w:r/>
    </w:p>
    <w:p>
      <w:pPr>
        <w:pStyle w:val="929"/>
        <w:ind w:firstLine="482"/>
        <w:jc w:val="both"/>
        <w:keepLines/>
        <w:keepNext/>
        <w:spacing w:before="145" w:beforeAutospacing="0" w:after="145" w:afterAutospacing="0" w:line="360" w:lineRule="auto"/>
        <w:rPr>
          <w:rFonts w:hint="eastAsia" w:ascii="宋体" w:hAnsi="宋体" w:cs="宋体"/>
          <w:b/>
          <w:highlight w:val="none"/>
        </w:rPr>
      </w:pPr>
      <w:r/>
      <w:bookmarkStart w:id="120" w:name="_Toc513029229"/>
      <w:r/>
      <w:bookmarkStart w:id="121" w:name="_Toc20823301"/>
      <w:r/>
      <w:bookmarkStart w:id="122" w:name="_Toc16938545"/>
      <w:r/>
      <w:bookmarkStart w:id="123" w:name="_Toc120614218"/>
      <w:r>
        <w:rPr>
          <w:rFonts w:hint="eastAsia" w:ascii="宋体" w:hAnsi="宋体" w:cs="宋体"/>
          <w:b/>
          <w:highlight w:val="none"/>
        </w:rPr>
        <w:t xml:space="preserve">五、开标与评标</w:t>
      </w:r>
      <w:bookmarkEnd w:id="120"/>
      <w:r/>
      <w:bookmarkEnd w:id="121"/>
      <w:r/>
      <w:bookmarkEnd w:id="122"/>
      <w:r/>
      <w:bookmarkEnd w:id="123"/>
      <w:r/>
      <w:bookmarkStart w:id="124" w:name="_Toc513029230"/>
      <w:r/>
      <w:bookmarkStart w:id="125" w:name="_Toc20823302"/>
      <w:r/>
      <w:bookmarkStart w:id="126" w:name="_Toc16938546"/>
      <w:r/>
      <w:r/>
    </w:p>
    <w:p>
      <w:pPr>
        <w:pStyle w:val="929"/>
        <w:ind w:firstLine="480"/>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highlight w:val="none"/>
        </w:rPr>
        <w:t xml:space="preserve">21.开标</w:t>
      </w:r>
      <w:bookmarkEnd w:id="124"/>
      <w:r/>
      <w:bookmarkEnd w:id="125"/>
      <w:r/>
      <w:bookmarkEnd w:id="126"/>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21.1 采购人将在招标公告中规定的时间和地点组织公开开标。投标人应当按照《操作手册》规定，参加开标活动和在苏采云系统规定的时间内对投标文件进行解密。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21.2开标仪式由采购人组织。苏采云系统将自动对项目进行开标，并宣布各投标人名称和投标价格。</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21.3投标人在开标过程中涉及到的投标文件解密、开标结果确认等工作，应按照《操作手册》规定执行。</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21.4投标人如果对开标过程和开标记录有疑义，应当根据《操作手册》规定提出，如 苏采云系统中《开标记录表》宣布后5分钟内未提出的，视同认可开标结果。</w:t>
      </w:r>
      <w:r/>
    </w:p>
    <w:p>
      <w:pPr>
        <w:pStyle w:val="929"/>
        <w:ind w:firstLine="480"/>
        <w:jc w:val="both"/>
        <w:keepLines/>
        <w:keepNext/>
        <w:spacing w:beforeAutospacing="0" w:afterAutospacing="0" w:line="360" w:lineRule="auto"/>
        <w:rPr>
          <w:rFonts w:hint="eastAsia" w:ascii="宋体" w:hAnsi="宋体" w:cs="宋体"/>
          <w:highlight w:val="none"/>
        </w:rPr>
      </w:pPr>
      <w:r/>
      <w:bookmarkStart w:id="127" w:name="_Toc513029231"/>
      <w:r/>
      <w:bookmarkStart w:id="128" w:name="_Toc20823303"/>
      <w:r/>
      <w:bookmarkStart w:id="129" w:name="_Toc16938547"/>
      <w:r>
        <w:rPr>
          <w:rFonts w:hint="eastAsia" w:ascii="宋体" w:hAnsi="宋体" w:cs="宋体"/>
          <w:highlight w:val="none"/>
        </w:rPr>
        <w:t xml:space="preserve">22.评标委员会</w:t>
      </w:r>
      <w:bookmarkEnd w:id="127"/>
      <w:r/>
      <w:bookmarkEnd w:id="128"/>
      <w:r/>
      <w:bookmarkEnd w:id="129"/>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22.1开标后，采购人将立即组织评标委员会（以下简称评委会）进行评标。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22.2 评委会由采购人代表和有关技术、经济等方面的专家组成，且人员构成符合政府采购有关规定。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22.3评委会独立工作，负责评审所有投标文件并确定中标候选人。</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23.评标过程的保密与公正</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23.1凡是与审查、澄清、评价和比较投标的有关资料以及授标建议等，采购人、评委、采购人均不得向投标人或与评标无关的其他人员透露。</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23.2在评标过程中，投标人不得以任何行为影响评标过程，否则其投标文件将被作为无效投标文件。</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23.3 采购人和评标委员会不向未中标的投标人解释未中标原因，也不公布评标过程中的相关细节。</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23.4 采用综合评分法的项目，未中标的投标人可于中标结果公告期限届满之日起通过苏采云系统查看自己的评审得分及排序情况。</w:t>
      </w:r>
      <w:r/>
    </w:p>
    <w:p>
      <w:pPr>
        <w:pStyle w:val="929"/>
        <w:ind w:firstLine="480"/>
        <w:jc w:val="both"/>
        <w:keepLines/>
        <w:keepNext/>
        <w:spacing w:beforeAutospacing="0" w:afterAutospacing="0" w:line="360" w:lineRule="auto"/>
        <w:rPr>
          <w:rFonts w:hint="eastAsia" w:ascii="宋体" w:hAnsi="宋体" w:cs="宋体"/>
          <w:highlight w:val="none"/>
        </w:rPr>
      </w:pPr>
      <w:r/>
      <w:bookmarkStart w:id="130" w:name="_Toc513029232"/>
      <w:r/>
      <w:bookmarkStart w:id="131" w:name="_Toc20823304"/>
      <w:r/>
      <w:bookmarkStart w:id="132" w:name="_Toc16938548"/>
      <w:r>
        <w:rPr>
          <w:rFonts w:hint="eastAsia" w:ascii="宋体" w:hAnsi="宋体" w:cs="宋体"/>
          <w:highlight w:val="none"/>
        </w:rPr>
        <w:t xml:space="preserve">24.投标文件的澄清</w:t>
      </w:r>
      <w:bookmarkEnd w:id="130"/>
      <w:r/>
      <w:bookmarkEnd w:id="131"/>
      <w:r/>
      <w:bookmarkEnd w:id="132"/>
      <w:r/>
      <w:r/>
    </w:p>
    <w:p>
      <w:pPr>
        <w:pStyle w:val="929"/>
        <w:ind w:firstLine="480"/>
        <w:jc w:val="both"/>
        <w:spacing w:beforeAutospacing="0" w:afterAutospacing="0" w:line="360" w:lineRule="auto"/>
        <w:rPr>
          <w:rFonts w:hint="eastAsia" w:ascii="宋体" w:hAnsi="宋体" w:cs="宋体"/>
          <w:highlight w:val="none"/>
        </w:rPr>
      </w:pPr>
      <w:r/>
      <w:bookmarkStart w:id="133" w:name="_Toc513029233"/>
      <w:r/>
      <w:bookmarkStart w:id="134" w:name="_Toc16938549"/>
      <w:r/>
      <w:bookmarkStart w:id="135" w:name="_Toc20823305"/>
      <w:r>
        <w:rPr>
          <w:rFonts w:hint="eastAsia" w:ascii="宋体" w:hAnsi="宋体" w:cs="宋体"/>
          <w:highlight w:val="none"/>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投标人的澄清、说明或者补正不得超出投标文件的范围或者改变投标文件的实质性内容。</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评标委员会并非对每个投标人都做澄清要求。</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24.3 接到评委会澄清、说明和补正要求的投标人如未按规定作出澄清、说明和补正，其风险由投标人自行承担。</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25.对投标文件的初审</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25.1投标文件初审分为资格审查和符合性审查。</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25.1.1 资格审查：依据法律法规和招标文件的规定，由采购人对投标文件中的资格证明文件进行审查。资格审查的结论，采购人以书面形式向评委会进行反馈。</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采购人在进行资格性审查的同时，将在“信用中国”网站（www.creditchina.gov.cn）查询投标人的信用记录，以确定投标人是否具备投标资格,查询结果留存并归档。</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25.1.2符合性审查：依据招标文件的规定，由评委会从投标文件的有效性、完整性和对招标文件的响应程度进行审查，以确定是否对招标文件的实质性要求作出响应。</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25.3如果投标文件实质上没有响应招标文件的要求，评委会将予以拒绝，投标人不得通过修改或撤销不符合要求的偏离或保留而使其投标成为实质性响应的投标。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25.4评委会将对确定为实质性响应的投标进行进一步审核，看其是否有计算上或累加上的算术错误，修正错误的原则如下：</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（1）投标文件中开标一览表内容与投标文件中相应内容不一致的，以开标一览表为准。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（2）大写金额和小写金额不一致的，以大写金额为准。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（4）总价金额与按单价汇总金额不一致的，以单价金额计算结果为准。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同时出现两种以上错误的，按照前款规定的顺序修正。</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9"/>
        <w:ind w:firstLine="480"/>
        <w:jc w:val="both"/>
        <w:spacing w:beforeAutospacing="0" w:afterAutospacing="0" w:line="360" w:lineRule="auto"/>
        <w:rPr>
          <w:rFonts w:hint="eastAsia" w:ascii="宋体" w:hAnsi="宋体" w:cs="宋体"/>
          <w:highlight w:val="none"/>
        </w:rPr>
      </w:pPr>
      <w:r/>
      <w:bookmarkStart w:id="136" w:name="_Toc513029234"/>
      <w:r/>
      <w:bookmarkStart w:id="137" w:name="_Toc16938550"/>
      <w:r/>
      <w:bookmarkStart w:id="138" w:name="_Toc20823306"/>
      <w:r>
        <w:rPr>
          <w:rFonts w:hint="eastAsia" w:ascii="宋体" w:hAnsi="宋体" w:cs="宋体"/>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9"/>
        <w:ind w:firstLine="42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25.7投标人在开、评标全过程中应保持通信畅通，及时登录苏采云系统查阅、答复相关信息，并安排专人与采购人及评标委员会联系。</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26.无效投标条款和废标条款</w:t>
      </w:r>
      <w:r/>
    </w:p>
    <w:p>
      <w:pPr>
        <w:pStyle w:val="929"/>
        <w:ind w:left="479"/>
        <w:jc w:val="both"/>
        <w:spacing w:beforeAutospacing="0" w:afterAutospacing="0" w:line="360" w:lineRule="auto"/>
        <w:rPr>
          <w:rFonts w:hint="eastAsia" w:ascii="宋体" w:hAnsi="宋体" w:cs="宋体"/>
          <w:highlight w:val="none"/>
        </w:rPr>
      </w:pPr>
      <w:r/>
      <w:bookmarkStart w:id="139" w:name="_Toc513029235"/>
      <w:r/>
      <w:bookmarkStart w:id="140" w:name="_Toc20823307"/>
      <w:r/>
      <w:bookmarkStart w:id="141" w:name="_Toc16938551"/>
      <w:r>
        <w:rPr>
          <w:rFonts w:hint="eastAsia" w:ascii="宋体" w:hAnsi="宋体" w:cs="宋体"/>
          <w:highlight w:val="none"/>
        </w:rPr>
        <w:t xml:space="preserve">26.1无效投标条款</w:t>
      </w:r>
      <w:bookmarkEnd w:id="139"/>
      <w:r/>
      <w:bookmarkEnd w:id="140"/>
      <w:r/>
      <w:bookmarkEnd w:id="141"/>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 投标人在苏采云系统规定的时间内未成功解密电子投标文件的。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26.1.2 投标人未按照招标文件要求上传电子投标文件的。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26.1.3同一投标人提交两个（含两个）以上不同的投标报价的。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26.1.4投标人不具备招标文件中规定资格要求的。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26.1.5投标人的报价超过了采购预算或最高限价的。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26.1.6未通过符合性审查的。</w:t>
      </w:r>
      <w:r/>
    </w:p>
    <w:p>
      <w:pPr>
        <w:pStyle w:val="929"/>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26.1.7不符合招标文件中规定的实质性要求和条件的（</w:t>
      </w:r>
      <w:r>
        <w:rPr>
          <w:rFonts w:hint="eastAsia" w:ascii="宋体" w:hAnsi="宋体" w:cs="宋体"/>
          <w:i/>
          <w:highlight w:val="none"/>
          <w:u w:val="single"/>
        </w:rPr>
        <w:t xml:space="preserve">本招标文件中斜体且有下划线部分为实质性要求和条件）</w:t>
      </w:r>
      <w:r>
        <w:rPr>
          <w:rFonts w:hint="eastAsia" w:ascii="宋体" w:hAnsi="宋体" w:cs="宋体"/>
          <w:i/>
          <w:highlight w:val="none"/>
        </w:rPr>
        <w:t xml:space="preserve">。</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26.1.9 未提供承诺函。</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26.1.10投标文件含有采购人不能接受的附加条件的。</w:t>
      </w:r>
      <w:r/>
    </w:p>
    <w:p>
      <w:pPr>
        <w:pStyle w:val="929"/>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26.1.10投标人不能证明其报价合理性的，评标委员会应当将其作为无效投标处理。</w:t>
      </w:r>
      <w:r/>
    </w:p>
    <w:p>
      <w:pPr>
        <w:pStyle w:val="929"/>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929"/>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1.投标报价低于采购项目预算50%的，即投标报价&lt;采购项目预算×50%；</w:t>
      </w:r>
      <w:r/>
    </w:p>
    <w:p>
      <w:pPr>
        <w:pStyle w:val="929"/>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2.评标委员会认定的供应商报价过低、有可能影响产品质量或者不能诚信履约的其他情形。</w:t>
      </w:r>
      <w:r/>
    </w:p>
    <w:p>
      <w:pPr>
        <w:pStyle w:val="929"/>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26.1.12 投标文件未按照招标文件要求加盖CA电子公章的。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26.1.13其他法律、法规及本招标文件规定的属无效投标的情形。</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26.2废标条款</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26.2.1符合专业条件的供应商或者对招标文件作实质响应的供应商不足三家的。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26.2.2出现影响采购公正的违法、违规行为的。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26.2.3因重大变故，采购任务取消的。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26.2.4评标委员会认定招标文件存在歧义、重大缺陷导致评审工作无法进行。</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26.2.5 因苏采云系统故障原因造成开标不成功的。</w:t>
      </w:r>
      <w:r/>
    </w:p>
    <w:p>
      <w:pPr>
        <w:pStyle w:val="929"/>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26.3 投标截止时间结束后参加投标的供应商不足三家的处理：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26.3.1如出现投标截止时间结束后参加投标的供应商或者在评标期间对招标文件做出实质响应的供应商不足三家情况，按政府采购相关规定执行。</w:t>
      </w:r>
      <w:r/>
    </w:p>
    <w:p>
      <w:pPr>
        <w:pStyle w:val="929"/>
        <w:ind w:firstLine="482"/>
        <w:jc w:val="both"/>
        <w:keepLines/>
        <w:keepNext/>
        <w:spacing w:before="145" w:beforeAutospacing="0" w:after="145" w:afterAutospacing="0" w:line="360" w:lineRule="auto"/>
        <w:rPr>
          <w:rFonts w:hint="eastAsia" w:ascii="宋体" w:hAnsi="宋体" w:cs="宋体"/>
          <w:highlight w:val="none"/>
        </w:rPr>
      </w:pPr>
      <w:r/>
      <w:bookmarkStart w:id="142" w:name="_Toc120614219"/>
      <w:r>
        <w:rPr>
          <w:rFonts w:hint="eastAsia" w:ascii="宋体" w:hAnsi="宋体" w:cs="宋体"/>
          <w:b/>
          <w:highlight w:val="none"/>
        </w:rPr>
        <w:t xml:space="preserve">六、定标</w:t>
      </w:r>
      <w:bookmarkEnd w:id="142"/>
      <w:r/>
      <w:r/>
    </w:p>
    <w:p>
      <w:pPr>
        <w:pStyle w:val="929"/>
        <w:ind w:firstLine="480"/>
        <w:jc w:val="both"/>
        <w:keepLines/>
        <w:keepNext/>
        <w:spacing w:beforeAutospacing="0" w:afterAutospacing="0" w:line="360" w:lineRule="auto"/>
        <w:rPr>
          <w:rFonts w:hint="eastAsia" w:ascii="宋体" w:hAnsi="宋体" w:cs="宋体"/>
          <w:highlight w:val="none"/>
        </w:rPr>
      </w:pPr>
      <w:r/>
      <w:bookmarkStart w:id="143" w:name="_Toc16938554"/>
      <w:r/>
      <w:bookmarkStart w:id="144" w:name="_Toc513029238"/>
      <w:r>
        <w:rPr>
          <w:rFonts w:hint="eastAsia" w:ascii="宋体" w:hAnsi="宋体" w:cs="宋体"/>
          <w:highlight w:val="none"/>
        </w:rPr>
        <w:t xml:space="preserve">27.确定</w:t>
      </w:r>
      <w:bookmarkEnd w:id="143"/>
      <w:r/>
      <w:bookmarkEnd w:id="144"/>
      <w:r>
        <w:rPr>
          <w:rFonts w:hint="eastAsia" w:ascii="宋体" w:hAnsi="宋体" w:cs="宋体"/>
          <w:highlight w:val="none"/>
        </w:rPr>
        <w:t xml:space="preserve">中标单位</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27.1中标候选人的选取原则和数量见招标文件第五章规定。 </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27.2 采购人应根据评委会推荐的中标候选人确定中标人。</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27.3 采购人将在中国政府采购网”“江苏政府采购网”“盐城市政府采购网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发布中标公告，公告期限为1个工作日。</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27.4若有充分证据证明，中标人出现下列情况之一的，一经查实，将被取消中标资格：</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27.4.1提供虚假材料谋取中标的。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27.4.2向采购人、采购人行贿或者提供其他不正当利益的。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27.4.3属于本文件规定的无效条件，但在评标过程中又未被评委会发现的。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27.4.4与采购人或者其他供应商恶意串通的。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27.4.5采取不正当手段诋毁、排挤其他供应商的。</w:t>
      </w:r>
      <w:r/>
    </w:p>
    <w:p>
      <w:pPr>
        <w:pStyle w:val="929"/>
        <w:ind w:firstLine="480"/>
        <w:jc w:val="both"/>
        <w:spacing w:beforeAutospacing="0" w:afterAutospacing="0" w:line="360" w:lineRule="auto"/>
        <w:rPr>
          <w:rFonts w:hint="eastAsia" w:ascii="宋体" w:hAnsi="宋体" w:cs="宋体"/>
          <w:highlight w:val="none"/>
        </w:rPr>
      </w:pPr>
      <w:r/>
      <w:bookmarkStart w:id="145" w:name="_Toc200451960"/>
      <w:r>
        <w:rPr>
          <w:rFonts w:hint="eastAsia" w:ascii="宋体" w:hAnsi="宋体" w:cs="宋体"/>
          <w:highlight w:val="none"/>
        </w:rPr>
        <w:t xml:space="preserve">27.5.有下列情形之一的，视为投标人串通投标，投标无效：</w:t>
      </w:r>
      <w:bookmarkEnd w:id="145"/>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27.5.1不同投标人的投标文件由同一单位或者个人编制；</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27.5.2不同投标人委托同一单位或者个人办理投标事宜；</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27.5.3 不同投标人的投标文件载明的项目管理成员或者联系人员为同一人；</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27.5.4不同投标人的投标文件异常一致或者投标报价呈规律性差异；</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28.质疑处理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28.1提出质疑的供应商应当是参与所质疑项目采购活动的供应商。潜在供应商依法获取其可质疑的采购文件的，可以对采购文件提出质疑。</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929"/>
        <w:ind w:firstLine="480"/>
        <w:spacing w:beforeAutospacing="0" w:afterAutospacing="0" w:line="360" w:lineRule="auto"/>
        <w:rPr>
          <w:rFonts w:hint="eastAsia" w:ascii="宋体" w:hAnsi="宋体" w:cs="宋体"/>
          <w:highlight w:val="none"/>
        </w:rPr>
      </w:pPr>
      <w:r>
        <w:rPr>
          <w:rFonts w:hint="eastAsia" w:ascii="宋体" w:hAnsi="宋体" w:cs="宋体"/>
          <w:highlight w:val="none"/>
        </w:rPr>
        <w:t xml:space="preserve">28.2.1对可以质疑的采购文件提出质疑的，为收到采购文件之日或者采购文件公告期限届满之日；</w:t>
      </w:r>
      <w:r>
        <w:rPr>
          <w:rFonts w:hint="eastAsia" w:ascii="宋体" w:hAnsi="宋体" w:cs="宋体"/>
          <w:highlight w:val="none"/>
        </w:rPr>
        <w:br w:type="textWrapping" w:clear="all"/>
      </w:r>
      <w:r>
        <w:rPr>
          <w:rFonts w:hint="eastAsia" w:ascii="宋体" w:hAnsi="宋体" w:cs="宋体"/>
          <w:highlight w:val="none"/>
        </w:rPr>
        <w:t xml:space="preserve">   28.2.2对采购过程提出质疑的，为各采购程序环节结束之日；</w:t>
      </w:r>
      <w:r>
        <w:rPr>
          <w:rFonts w:hint="eastAsia" w:ascii="宋体" w:hAnsi="宋体" w:cs="宋体"/>
          <w:highlight w:val="none"/>
        </w:rPr>
        <w:br w:type="textWrapping" w:clear="all"/>
      </w:r>
      <w:r>
        <w:rPr>
          <w:rFonts w:hint="eastAsia" w:ascii="宋体" w:hAnsi="宋体" w:cs="宋体"/>
          <w:highlight w:val="none"/>
        </w:rPr>
        <w:t xml:space="preserve">  28.2.3对中标或者成交结果提出质疑的，为中标或者成交结果公告期限届满之日。</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代理机构及采购人只接收以纸质原件形式送达的质疑,采购人和代理机构不接受未填写快递运单的快件。质疑接收部门盐城载鑫项目管理咨询有限公司，联系地址：滨海县政务服务中心三楼3145室，联系电话：13770130866。</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 以下情形的质疑不予受理</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28.5.1 内容不符合《政府采购质疑和投诉办法》第十二条规定的质疑。</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28.5.2 超出政府采购法定期限的质疑。</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28.5.3 以传真、电子邮件等方式递交的非原件形式的质疑。</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28.5.4 未参加投标活动的供应商或在投标活动中自身权益未受到损害的供应商所提出的质疑。</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28.5.5供应商组成联合体参加投标，联合体中任何一方或多方未按要求签字、盖章、加盖公章的质疑。</w:t>
      </w:r>
      <w:r/>
    </w:p>
    <w:p>
      <w:pPr>
        <w:pStyle w:val="929"/>
        <w:ind w:firstLine="468"/>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29.中标通知书</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9"/>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9"/>
        <w:jc w:val="both"/>
        <w:keepLines/>
        <w:keepNext/>
        <w:spacing w:before="145" w:beforeAutospacing="0" w:after="145" w:afterAutospacing="0" w:line="360" w:lineRule="auto"/>
        <w:rPr>
          <w:rFonts w:hint="eastAsia" w:ascii="宋体" w:hAnsi="宋体" w:cs="宋体"/>
          <w:highlight w:val="none"/>
        </w:rPr>
      </w:pPr>
      <w:r/>
      <w:bookmarkStart w:id="146" w:name="_Toc20823308"/>
      <w:r/>
      <w:bookmarkStart w:id="147" w:name="_Toc16938552"/>
      <w:r/>
      <w:bookmarkStart w:id="148" w:name="_Toc120614220"/>
      <w:r/>
      <w:bookmarkStart w:id="149" w:name="_Toc513029236"/>
      <w:r>
        <w:rPr>
          <w:rFonts w:hint="eastAsia" w:ascii="宋体" w:hAnsi="宋体" w:cs="宋体"/>
          <w:b/>
          <w:highlight w:val="none"/>
        </w:rPr>
        <w:t xml:space="preserve">七、授予合同</w:t>
      </w:r>
      <w:bookmarkEnd w:id="146"/>
      <w:r/>
      <w:bookmarkEnd w:id="147"/>
      <w:r/>
      <w:bookmarkEnd w:id="148"/>
      <w:r/>
      <w:bookmarkEnd w:id="149"/>
      <w:r/>
      <w:r/>
    </w:p>
    <w:p>
      <w:pPr>
        <w:pStyle w:val="929"/>
        <w:ind w:firstLine="600"/>
        <w:jc w:val="both"/>
        <w:keepLines/>
        <w:keepNext/>
        <w:spacing w:beforeAutospacing="0" w:afterAutospacing="0" w:line="360" w:lineRule="auto"/>
        <w:rPr>
          <w:rFonts w:hint="eastAsia" w:ascii="宋体" w:hAnsi="宋体" w:cs="宋体"/>
          <w:highlight w:val="none"/>
        </w:rPr>
      </w:pPr>
      <w:r/>
      <w:bookmarkStart w:id="150" w:name="_Toc20823309"/>
      <w:r/>
      <w:bookmarkStart w:id="151" w:name="_Toc513029237"/>
      <w:r/>
      <w:bookmarkStart w:id="152" w:name="_Toc16938553"/>
      <w:r>
        <w:rPr>
          <w:rFonts w:hint="eastAsia" w:ascii="宋体" w:hAnsi="宋体" w:cs="宋体"/>
          <w:highlight w:val="none"/>
        </w:rPr>
        <w:t xml:space="preserve">30.签订合同</w:t>
      </w:r>
      <w:bookmarkEnd w:id="150"/>
      <w:r/>
      <w:bookmarkEnd w:id="151"/>
      <w:r/>
      <w:bookmarkEnd w:id="152"/>
      <w:r/>
      <w:r/>
    </w:p>
    <w:p>
      <w:pPr>
        <w:pStyle w:val="929"/>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30.l中标人应当在中标通知书发出之日起三十日内，按照招标文件确定的事项与采购人签订政府采购合同。</w:t>
      </w:r>
      <w:r/>
    </w:p>
    <w:p>
      <w:pPr>
        <w:pStyle w:val="929"/>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30.2招标文件、中标人的投标文件及招标过程中有关澄清、承诺文件均应作为合同附件。</w:t>
      </w:r>
      <w:r/>
    </w:p>
    <w:p>
      <w:pPr>
        <w:pStyle w:val="929"/>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30.3 签订合同后，</w:t>
      </w:r>
      <w:r>
        <w:rPr>
          <w:rFonts w:hint="eastAsia" w:ascii="宋体" w:hAnsi="宋体" w:cs="宋体"/>
          <w:i/>
          <w:highlight w:val="none"/>
          <w:u w:val="single"/>
        </w:rPr>
        <w:t xml:space="preserve">中标人不得将合同标的进行转包</w:t>
      </w:r>
      <w:r>
        <w:rPr>
          <w:rFonts w:hint="eastAsia" w:ascii="宋体" w:hAnsi="宋体" w:cs="宋体"/>
          <w:highlight w:val="none"/>
        </w:rPr>
        <w:t xml:space="preserve">。未经采购人同意，中标人也不得采用分包的形式履行合同，否则采购人有权终止合同。转包或分包造成采购人损失的，中标人应承担相应赔偿责任。</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31.货物（包含与货物相关的服务）的追加</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32.政府采购政策功能落实</w:t>
      </w:r>
      <w:r/>
    </w:p>
    <w:p>
      <w:pPr>
        <w:pStyle w:val="929"/>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32.1政府采购线上合同信用融资政策</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32.2进口产品</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32.3.1中小企业定义：</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中小企业</w:t>
      </w:r>
      <w:r>
        <w:rPr>
          <w:rFonts w:hint="eastAsia" w:ascii="宋体" w:hAnsi="宋体" w:cs="宋体"/>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32.3.2供应商提供的货物、工程或者服务符合下列情形的，享受中小企业扶持政策：</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32.3.2.1在货物采购项目中，货物由中小企业制造，即货物由中小企业生产且使用该中小企业商号或者注册商标；</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32.3.2.2在工程采购项目中，工程由中小企业承建，即工程施工单位为中小企业；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32.3.2.3在服务采购项目中，服务由中小企业承接，即提供服务的人员为中小企业依照《中华人民共和国劳动合同法》订立劳动合同的从业人员。</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32.3.3在货物采购项目中，供应商提供的货物既有中小企业制造货物，也有大型企业制造货物的，不享受中小企业扶持政策。</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32.3.4以联合体形式参加政府采购活动，联合体各方均为中小企业的，联合体视同中小企业。其中，联合体各方均为小微企业的，联合体视同小微企业。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32.3.6残疾人福利单位定义：享受政府采购支持政策的残疾人福利性单位应当同时满足以下条件：</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32.3.6.1安置的残疾人占本单位在职职工人数的比例不低于25%（含25%），并且安置的残疾人人数不少于10 人（含10 人）；</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32.3.6.2依法与安置的每位残疾人签订了一年以上（含一年）的劳动合同或服务协议；</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32.3.6.3为安置的每位残疾人按月足额缴纳了基本养老保险、基本医疗保险、失业保险、工伤保险和生育保险等社会保险费；</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32.3.6.4通过银行等金融机构向安置的每位残疾人，按月支付了不低于单位所在区县适用的经省级人民政府批准的月最低工资标准的工资；</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32.3.6.5提供本单位制造的货物、承担的工程或者服务（以下简称产品），或者提供其他残疾人福利性单位制造的货物（不包括使用非残疾人福利性单位注册商标的货物）；</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32.3.7本项目是否专门面向中小企业预留采购份额见第一章《招标公告》。</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32.3.8采购标的对应的中小企业划分标准所属行业见第四章《采购需求》。</w:t>
      </w:r>
      <w:r/>
    </w:p>
    <w:p>
      <w:pPr>
        <w:pStyle w:val="929"/>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32.5绿色包装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32.6政府采购创新产品</w:t>
      </w:r>
      <w:r/>
    </w:p>
    <w:p>
      <w:pPr>
        <w:ind w:firstLine="478"/>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32.7绿色数据中心政策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33.8实施本国产品标准及相关政策</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32.9履约保证金政策</w:t>
      </w:r>
      <w:r/>
    </w:p>
    <w:p>
      <w:pPr>
        <w:pStyle w:val="767"/>
        <w:ind w:left="0" w:firstLine="560"/>
        <w:spacing w:after="0" w:line="360" w:lineRule="auto"/>
        <w:rPr>
          <w:rFonts w:hint="eastAsia" w:ascii="宋体" w:hAnsi="宋体" w:cs="宋体"/>
          <w:sz w:val="24"/>
          <w:highlight w:val="none"/>
        </w:rPr>
      </w:pPr>
      <w:r>
        <w:rPr>
          <w:rFonts w:hint="eastAsia" w:ascii="宋体" w:hAnsi="宋体" w:cs="宋体"/>
          <w:sz w:val="24"/>
          <w:highlight w:val="none"/>
        </w:rPr>
        <w:t xml:space="preserve">确需收取履约保证金的，履约保证金的缴纳形式：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34. 预付款制度</w:t>
      </w:r>
      <w:r/>
    </w:p>
    <w:p>
      <w:pPr>
        <w:ind w:firstLine="480"/>
        <w:spacing w:line="360" w:lineRule="auto"/>
        <w:rPr>
          <w:highlight w:val="none"/>
        </w:rP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rPr>
        <w:t xml:space="preserve">30%</w:t>
      </w:r>
      <w:r>
        <w:rPr>
          <w:rFonts w:hint="eastAsia" w:ascii="宋体" w:hAnsi="宋体" w:cs="宋体"/>
          <w:sz w:val="24"/>
          <w:highlight w:val="none"/>
        </w:rPr>
        <w:t xml:space="preserve">。在签订合同时，中标、</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明确书面表示无需预付款或者主动要求降低预付款比例的，采购人可就预付款比例作相应调整。</w:t>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center"/>
        <w:spacing w:line="360" w:lineRule="auto"/>
        <w:widowControl/>
        <w:rPr>
          <w:rFonts w:hint="eastAsia" w:ascii="宋体" w:hAnsi="宋体" w:cs="宋体"/>
          <w:b/>
          <w:sz w:val="48"/>
          <w:szCs w:val="44"/>
          <w:highlight w:val="none"/>
        </w:rPr>
      </w:pPr>
      <w:r>
        <w:rPr>
          <w:sz w:val="36"/>
          <w:szCs w:val="44"/>
          <w:highlight w:val="none"/>
        </w:rPr>
        <w:t xml:space="preserve"> </w:t>
      </w:r>
      <w:bookmarkStart w:id="153" w:name="_Toc479757211"/>
      <w:r/>
      <w:bookmarkStart w:id="154" w:name="_Toc120614244"/>
      <w:r/>
      <w:bookmarkStart w:id="155" w:name="_Toc462564139"/>
      <w:r/>
      <w:bookmarkStart w:id="156" w:name="_Toc16938590"/>
      <w:r/>
      <w:bookmarkStart w:id="157" w:name="_Hlt16619350"/>
      <w:r/>
      <w:bookmarkStart w:id="158" w:name="_Toc20823346"/>
      <w:r/>
      <w:bookmarkStart w:id="159" w:name="_Hlt16619369"/>
      <w:r>
        <w:rPr>
          <w:rFonts w:hint="eastAsia" w:ascii="宋体" w:hAnsi="宋体" w:cs="宋体"/>
          <w:b/>
          <w:sz w:val="48"/>
          <w:szCs w:val="44"/>
          <w:highlight w:val="none"/>
        </w:rPr>
        <w:t xml:space="preserve">第三章  合同条款</w:t>
      </w:r>
      <w:r/>
    </w:p>
    <w:p>
      <w:pPr>
        <w:rPr>
          <w:rFonts w:hint="eastAsia" w:ascii="宋体" w:hAnsi="宋体" w:cs="宋体"/>
          <w:highlight w:val="none"/>
        </w:rPr>
      </w:pPr>
      <w:r/>
      <w:bookmarkStart w:id="160" w:name="EB6d2006462e294de090c16e672cecc3bd"/>
      <w:r/>
      <w:bookmarkEnd w:id="160"/>
      <w:r/>
      <w:r/>
    </w:p>
    <w:p>
      <w:pPr>
        <w:jc w:val="center"/>
        <w:rPr>
          <w:rFonts w:hint="eastAsia" w:ascii="宋体" w:hAnsi="宋体" w:cs="宋体"/>
          <w:b/>
          <w:bCs/>
          <w:spacing w:val="-20"/>
          <w:sz w:val="48"/>
          <w:szCs w:val="48"/>
          <w:highlight w:val="none"/>
        </w:rPr>
      </w:pPr>
      <w:r/>
      <w:bookmarkStart w:id="161" w:name="_Toc3995"/>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t xml:space="preserve">政府采购货物买卖合同</w:t>
      </w:r>
      <w:r/>
    </w:p>
    <w:p>
      <w:pPr>
        <w:jc w:val="cente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ind w:firstLine="64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highlight w:val="none"/>
        </w:rPr>
      </w:r>
      <w:bookmarkEnd w:id="161"/>
      <w:r/>
      <w:r/>
    </w:p>
    <w:p>
      <w:pPr>
        <w:jc w:val="center"/>
        <w:keepLines/>
        <w:keepNext/>
        <w:spacing w:line="400" w:lineRule="exact"/>
        <w:rPr>
          <w:rFonts w:hint="eastAsia" w:ascii="黑体" w:hAnsi="黑体" w:eastAsia="黑体"/>
          <w:b/>
          <w:bCs/>
          <w:sz w:val="28"/>
          <w:szCs w:val="28"/>
          <w:highlight w:val="none"/>
        </w:rPr>
        <w:outlineLvl w:val="1"/>
      </w:pPr>
      <w:r/>
      <w:bookmarkStart w:id="162" w:name="_Toc22209"/>
      <w:r/>
      <w:r/>
    </w:p>
    <w:p>
      <w:pPr>
        <w:jc w:val="center"/>
        <w:keepLines/>
        <w:keepNext/>
        <w:spacing w:line="400" w:lineRule="exact"/>
        <w:rPr>
          <w:rFonts w:hint="eastAsia"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2"/>
      <w:r/>
      <w:r/>
    </w:p>
    <w:p>
      <w:pPr>
        <w:jc w:val="center"/>
        <w:keepLines/>
        <w:keepNext/>
        <w:spacing w:line="360" w:lineRule="auto"/>
        <w:rPr>
          <w:rFonts w:hint="eastAsia" w:ascii="黑体" w:hAnsi="华文中宋" w:eastAsia="黑体"/>
          <w:sz w:val="28"/>
          <w:szCs w:val="28"/>
          <w:highlight w:val="none"/>
        </w:rPr>
        <w:outlineLvl w:val="1"/>
      </w:pPr>
      <w:r>
        <w:rPr>
          <w:rFonts w:hint="eastAsia" w:ascii="黑体" w:hAnsi="华文中宋" w:eastAsia="黑体"/>
          <w:sz w:val="28"/>
          <w:szCs w:val="28"/>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甲方（全称）：</w:t>
      </w:r>
      <w:r/>
    </w:p>
    <w:p>
      <w:pPr>
        <w:spacing w:line="360" w:lineRule="auto"/>
        <w:rPr>
          <w:rFonts w:hint="eastAsia"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highlight w:val="none"/>
        </w:rPr>
      </w:pPr>
      <w:r>
        <w:rPr>
          <w:rFonts w:hint="eastAsia" w:ascii="宋体" w:hAnsi="宋体"/>
          <w:b/>
          <w:sz w:val="24"/>
          <w:highlight w:val="none"/>
        </w:rPr>
        <w:t xml:space="preserve">项目信息</w:t>
      </w:r>
      <w:r/>
    </w:p>
    <w:p>
      <w:pPr>
        <w:ind w:firstLine="480"/>
        <w:spacing w:line="360" w:lineRule="auto"/>
        <w:rPr>
          <w:rFonts w:hint="eastAsia" w:ascii="宋体" w:hAnsi="宋体"/>
          <w:sz w:val="24"/>
          <w:highlight w:val="none"/>
          <w:u w:val="single"/>
        </w:rPr>
      </w:pPr>
      <w:r>
        <w:rPr>
          <w:rFonts w:hint="eastAsia" w:ascii="宋体" w:hAnsi="宋体"/>
          <w:sz w:val="24"/>
          <w:highlight w:val="none"/>
        </w:rPr>
        <w:t xml:space="preserve">1.1采购项目名称：</w:t>
      </w:r>
      <w:r>
        <w:rPr>
          <w:rFonts w:hint="eastAsia" w:ascii="宋体" w:hAnsi="宋体"/>
          <w:sz w:val="24"/>
          <w:highlight w:val="none"/>
          <w:u w:val="single"/>
        </w:rPr>
        <w:t xml:space="preserve">滨海县公安局道路交通安全提升项目</w:t>
      </w:r>
      <w:r/>
    </w:p>
    <w:p>
      <w:pPr>
        <w:spacing w:line="360" w:lineRule="auto"/>
        <w:tabs>
          <w:tab w:val="left" w:pos="999" w:leader="none"/>
        </w:tabs>
        <w:rPr>
          <w:rFonts w:hint="eastAsia"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hint="eastAsia" w:ascii="宋体" w:hAnsi="宋体"/>
          <w:sz w:val="24"/>
          <w:highlight w:val="none"/>
        </w:rPr>
      </w:pPr>
      <w:r>
        <w:rPr>
          <w:rFonts w:hint="eastAsia" w:ascii="宋体" w:hAnsi="宋体"/>
          <w:sz w:val="24"/>
          <w:highlight w:val="none"/>
        </w:rPr>
        <w:t xml:space="preserve">1.2采购计划编号：</w:t>
      </w:r>
      <w:r/>
    </w:p>
    <w:p>
      <w:pPr>
        <w:ind w:firstLine="480"/>
        <w:spacing w:line="360" w:lineRule="auto"/>
        <w:rPr>
          <w:rFonts w:hint="eastAsia" w:ascii="宋体" w:hAnsi="宋体"/>
          <w:sz w:val="24"/>
          <w:highlight w:val="none"/>
        </w:rPr>
      </w:pPr>
      <w:r>
        <w:rPr>
          <w:rFonts w:hint="eastAsia" w:ascii="宋体" w:hAnsi="宋体"/>
          <w:sz w:val="24"/>
          <w:highlight w:val="none"/>
        </w:rPr>
        <w:t xml:space="preserve">1.3采购内容：</w:t>
      </w:r>
      <w:r>
        <w:rPr>
          <w:rFonts w:hint="eastAsia" w:ascii="宋体" w:hAnsi="宋体" w:cs="宋体"/>
          <w:spacing w:val="-5"/>
          <w:highlight w:val="none"/>
        </w:rPr>
        <w:t xml:space="preserve">针对我县当前道路交通安全面临的形势和工作实际情况，充分考虑县域道路状况、事故易发路段、事故“减量控大”等因素，聚焦于安全为先、问题导向、效率为本、科技赋能等方面，围绕精准化违法管控、立体化安全防控、突发情况应急防范与服务、全面支撑基础设施保障四大体系对道路交通安全进行提升，包括产品（含相关附配件、软件）的采购、包装、运输、装卸、安装、调试、集成、培训、验收、五年免费质量保修期内维保、售后服务等相伴随服务</w:t>
      </w:r>
      <w:r>
        <w:rPr>
          <w:rFonts w:hint="eastAsia" w:ascii="宋体" w:hAnsi="宋体" w:cs="宋体"/>
          <w:spacing w:val="-5"/>
          <w:sz w:val="24"/>
          <w:highlight w:val="none"/>
        </w:rPr>
        <w:t xml:space="preserve">。具体货物名称、数量及技术参数需求等内容详见招标文件第四章。</w:t>
      </w:r>
      <w:r/>
    </w:p>
    <w:p>
      <w:pPr>
        <w:numPr>
          <w:ilvl w:val="0"/>
          <w:numId w:val="1"/>
        </w:numPr>
        <w:ind w:firstLine="482"/>
        <w:spacing w:line="360" w:lineRule="auto"/>
        <w:rPr>
          <w:rFonts w:hint="eastAsia"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hint="eastAsia" w:ascii="宋体" w:hAnsi="宋体"/>
          <w:sz w:val="24"/>
          <w:highlight w:val="none"/>
          <w:u w:val="single"/>
        </w:rPr>
      </w:pPr>
      <w:r>
        <w:rPr>
          <w:rFonts w:hint="eastAsia" w:ascii="宋体" w:hAnsi="宋体"/>
          <w:sz w:val="24"/>
          <w:highlight w:val="none"/>
        </w:rPr>
        <w:t xml:space="preserve">2.1合同金额大写：</w:t>
      </w:r>
      <w:r>
        <w:rPr>
          <w:rFonts w:hint="eastAsia" w:ascii="宋体" w:hAnsi="宋体"/>
          <w:sz w:val="24"/>
          <w:highlight w:val="none"/>
          <w:u w:val="single"/>
        </w:rPr>
        <w:t xml:space="preserve">                </w:t>
      </w:r>
      <w:r>
        <w:rPr>
          <w:rFonts w:hint="eastAsia" w:ascii="宋体" w:hAnsi="宋体"/>
          <w:sz w:val="24"/>
          <w:highlight w:val="none"/>
        </w:rPr>
        <w:t xml:space="preserve"> 小写：</w:t>
      </w:r>
      <w:r>
        <w:rPr>
          <w:rFonts w:hint="eastAsia" w:ascii="宋体" w:hAnsi="宋体"/>
          <w:sz w:val="24"/>
          <w:highlight w:val="none"/>
          <w:u w:val="single"/>
        </w:rPr>
        <w:t xml:space="preserve">                </w:t>
      </w:r>
      <w:r>
        <w:rPr>
          <w:rFonts w:hint="eastAsia" w:ascii="宋体" w:hAnsi="宋体"/>
          <w:sz w:val="24"/>
          <w:highlight w:val="none"/>
        </w:rPr>
        <w:t xml:space="preserve">元 </w:t>
      </w:r>
      <w:r/>
    </w:p>
    <w:p>
      <w:pPr>
        <w:ind w:firstLine="482"/>
        <w:spacing w:line="360" w:lineRule="auto"/>
        <w:rPr>
          <w:rFonts w:hint="eastAsia" w:ascii="宋体" w:hAnsi="宋体"/>
          <w:sz w:val="24"/>
          <w:highlight w:val="none"/>
        </w:rPr>
      </w:pPr>
      <w:r>
        <w:rPr>
          <w:rFonts w:hint="eastAsia" w:ascii="宋体" w:hAnsi="宋体"/>
          <w:sz w:val="24"/>
          <w:highlight w:val="none"/>
        </w:rPr>
        <w:t xml:space="preserve">2.2付款方式</w:t>
      </w:r>
      <w:r/>
    </w:p>
    <w:p>
      <w:pPr>
        <w:ind w:firstLine="480"/>
        <w:spacing w:line="360" w:lineRule="auto"/>
        <w:rPr>
          <w:rFonts w:hint="eastAsia" w:ascii="宋体" w:hAnsi="宋体" w:cs="宋体"/>
          <w:color w:val="000000"/>
          <w:sz w:val="24"/>
          <w:highlight w:val="none"/>
        </w:rPr>
      </w:pPr>
      <w:r>
        <w:rPr>
          <w:rFonts w:hint="eastAsia" w:ascii="宋体" w:hAnsi="宋体"/>
          <w:sz w:val="24"/>
          <w:highlight w:val="none"/>
        </w:rPr>
        <w:t xml:space="preserve">2.2.1合同签订</w:t>
      </w:r>
      <w:r>
        <w:rPr>
          <w:rFonts w:hint="eastAsia" w:ascii="宋体" w:hAnsi="宋体" w:cs="宋体"/>
          <w:color w:val="000000"/>
          <w:sz w:val="24"/>
          <w:highlight w:val="none"/>
        </w:rPr>
        <w:t xml:space="preserve">后，甲方在收到乙方开具合同价款30%的预付款银行保函后支付预付款</w:t>
      </w:r>
      <w:r>
        <w:rPr>
          <w:rFonts w:hint="eastAsia" w:ascii="宋体" w:hAnsi="宋体" w:cs="宋体"/>
          <w:sz w:val="24"/>
          <w:highlight w:val="none"/>
        </w:rPr>
        <w:t xml:space="preserve">；</w:t>
      </w:r>
      <w:r>
        <w:rPr>
          <w:rFonts w:hint="eastAsia" w:ascii="宋体" w:hAnsi="宋体" w:cs="宋体"/>
          <w:color w:val="000000"/>
          <w:sz w:val="24"/>
          <w:highlight w:val="none"/>
        </w:rPr>
        <w:t xml:space="preserve">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w:t>
      </w:r>
      <w:r/>
    </w:p>
    <w:p>
      <w:pPr>
        <w:pStyle w:val="937"/>
        <w:spacing w:before="120" w:after="120" w:line="360" w:lineRule="auto"/>
        <w:rPr>
          <w:rFonts w:hint="eastAsia" w:hAnsi="宋体" w:cs="宋体"/>
          <w:color w:val="000000"/>
          <w:sz w:val="24"/>
          <w:highlight w:val="none"/>
        </w:rPr>
      </w:pPr>
      <w:r>
        <w:rPr>
          <w:rFonts w:hint="eastAsia" w:hAnsi="宋体" w:cs="宋体"/>
          <w:color w:val="000000"/>
          <w:sz w:val="24"/>
          <w:highlight w:val="none"/>
        </w:rPr>
        <w:t xml:space="preserve">注：1）将合同价款30%的预付款</w:t>
      </w:r>
      <w:r>
        <w:rPr>
          <w:rFonts w:hint="eastAsia" w:hAnsi="宋体" w:cs="宋体"/>
          <w:sz w:val="24"/>
          <w:highlight w:val="none"/>
        </w:rPr>
        <w:t xml:space="preserve">汇入农民工工资专用账户。</w:t>
      </w:r>
      <w:r/>
    </w:p>
    <w:p>
      <w:pPr>
        <w:pStyle w:val="937"/>
        <w:ind w:firstLine="480"/>
        <w:spacing w:before="120" w:after="120" w:line="460" w:lineRule="exact"/>
        <w:rPr>
          <w:rFonts w:hint="eastAsia" w:hAnsi="宋体" w:cs="宋体"/>
          <w:color w:val="000000"/>
          <w:sz w:val="24"/>
          <w:highlight w:val="none"/>
        </w:rPr>
      </w:pPr>
      <w:r>
        <w:rPr>
          <w:rFonts w:hint="eastAsia" w:hAnsi="宋体" w:cs="宋体"/>
          <w:color w:val="000000"/>
          <w:sz w:val="24"/>
          <w:highlight w:val="none"/>
        </w:rPr>
        <w:t xml:space="preserve">2）项目竣工验收完成后,项目建设单位须将所有项目材料装订成册，移交县局档案室统一管理。</w:t>
      </w:r>
      <w:r/>
    </w:p>
    <w:p>
      <w:pPr>
        <w:pStyle w:val="937"/>
        <w:ind w:firstLine="480"/>
        <w:spacing w:before="120" w:after="120" w:line="460" w:lineRule="exact"/>
        <w:rPr>
          <w:rFonts w:hint="eastAsia" w:hAnsi="宋体" w:cs="宋体"/>
          <w:color w:val="000000"/>
          <w:sz w:val="24"/>
          <w:highlight w:val="none"/>
        </w:rPr>
      </w:pPr>
      <w:r>
        <w:rPr>
          <w:rFonts w:hint="eastAsia" w:hAnsi="宋体" w:cs="宋体"/>
          <w:color w:val="000000"/>
          <w:sz w:val="24"/>
          <w:highlight w:val="none"/>
        </w:rPr>
        <w:t xml:space="preserve">3）对于应提供第三方检测报告而未提供的;未经档案验收，或者档案验收不合格的;未完成网络安全等级保护工作的;未按招标文件及合同约定响应或履约的，一律视为验收不合格。验收不合格的项目，由承建单位进行整改，重新准备相关材料后，再次提出验收申请，直至验收合格。</w:t>
      </w:r>
      <w:r/>
    </w:p>
    <w:p>
      <w:pPr>
        <w:pStyle w:val="937"/>
        <w:ind w:firstLine="480"/>
        <w:spacing w:before="120" w:after="120" w:line="460" w:lineRule="exact"/>
        <w:rPr>
          <w:rFonts w:hint="eastAsia" w:hAnsi="宋体" w:cs="宋体"/>
          <w:color w:val="000000"/>
          <w:sz w:val="24"/>
          <w:highlight w:val="none"/>
        </w:rPr>
      </w:pPr>
      <w:r>
        <w:rPr>
          <w:rFonts w:hint="eastAsia" w:hAnsi="宋体" w:cs="宋体"/>
          <w:color w:val="000000"/>
          <w:sz w:val="24"/>
          <w:highlight w:val="none"/>
        </w:rPr>
        <w:t xml:space="preserve">4）通过竣工验收的项目，未向县局档案室移交档案的，或者未向警保部门登记国有资产入库的，不得支付项目尾款。</w:t>
      </w:r>
      <w:r/>
    </w:p>
    <w:p>
      <w:pPr>
        <w:pStyle w:val="937"/>
        <w:ind w:firstLine="480"/>
        <w:spacing w:before="120" w:after="120" w:line="460" w:lineRule="exact"/>
        <w:rPr>
          <w:rFonts w:hint="eastAsia" w:hAnsi="宋体" w:cs="宋体"/>
          <w:color w:val="000000"/>
          <w:sz w:val="24"/>
          <w:highlight w:val="none"/>
        </w:rPr>
      </w:pPr>
      <w:r>
        <w:rPr>
          <w:rFonts w:hint="eastAsia" w:hAnsi="宋体" w:cs="宋体"/>
          <w:color w:val="000000"/>
          <w:sz w:val="24"/>
          <w:highlight w:val="none"/>
        </w:rPr>
        <w:t xml:space="preserve">5）项目建设单位应当在项目验收合格后一个月内向审计部门提交项目材料并申请审计，项目结算审计核减金额超过送审金额的10%，审计费用由承建单位承担。</w:t>
      </w:r>
      <w:r/>
    </w:p>
    <w:p>
      <w:pPr>
        <w:pStyle w:val="937"/>
        <w:ind w:firstLine="480"/>
        <w:spacing w:before="120" w:after="120" w:line="460" w:lineRule="exact"/>
        <w:rPr>
          <w:rFonts w:hint="eastAsia" w:hAnsi="宋体" w:cs="宋体"/>
          <w:color w:val="000000"/>
          <w:sz w:val="24"/>
          <w:highlight w:val="none"/>
        </w:rPr>
      </w:pPr>
      <w:r>
        <w:rPr>
          <w:rFonts w:hint="eastAsia" w:hAnsi="宋体" w:cs="宋体"/>
          <w:color w:val="000000"/>
          <w:szCs w:val="21"/>
          <w:highlight w:val="none"/>
        </w:rPr>
        <w:t xml:space="preserve">6）</w:t>
      </w:r>
      <w:r>
        <w:rPr>
          <w:rFonts w:hAnsi="宋体" w:cs="宋体"/>
          <w:color w:val="000000"/>
          <w:szCs w:val="21"/>
          <w:highlight w:val="none"/>
        </w:rPr>
        <w:t xml:space="preserve">对于满足合同约定支付条件的，采购人应当自收到发票后 10个工作日内将资金支付到合同约定的供应商账户</w:t>
      </w:r>
      <w:r>
        <w:rPr>
          <w:rFonts w:hint="eastAsia" w:hAnsi="宋体" w:cs="宋体"/>
          <w:color w:val="000000"/>
          <w:sz w:val="24"/>
          <w:highlight w:val="none"/>
        </w:rPr>
        <w:t xml:space="preserve">。</w:t>
      </w:r>
      <w:r/>
    </w:p>
    <w:p>
      <w:pPr>
        <w:numPr>
          <w:ilvl w:val="0"/>
          <w:numId w:val="1"/>
        </w:numPr>
        <w:ind w:firstLine="482"/>
        <w:spacing w:line="360" w:lineRule="auto"/>
        <w:rPr>
          <w:rFonts w:hint="eastAsia"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3.2履约地点</w:t>
      </w:r>
      <w:r>
        <w:rPr>
          <w:rFonts w:hint="eastAsia" w:ascii="宋体" w:hAnsi="宋体" w:cs="宋体"/>
          <w:bCs/>
          <w:sz w:val="24"/>
          <w:highlight w:val="none"/>
        </w:rPr>
        <w:t xml:space="preserve">：滨海县范围内，采购人指定地点。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3.3.1收取履约保证金形式：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3.3.2收取履约保证金金额：</w:t>
      </w:r>
      <w:r>
        <w:rPr>
          <w:rFonts w:hint="eastAsia" w:ascii="宋体" w:hAnsi="宋体" w:cs="宋体"/>
          <w:sz w:val="24"/>
          <w:highlight w:val="none"/>
          <w:u w:val="single"/>
        </w:rPr>
        <w:t xml:space="preserve">合同金额的10%</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3.3.3履约担保期限： </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3.4确需收取履约保证金的，履约保证金的缴纳形式：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highlight w:val="none"/>
        </w:rPr>
      </w:pPr>
      <w:r>
        <w:rPr>
          <w:rFonts w:hint="eastAsia" w:ascii="宋体" w:hAnsi="宋体"/>
          <w:b/>
          <w:sz w:val="24"/>
          <w:highlight w:val="none"/>
        </w:rPr>
        <w:t xml:space="preserve">合同验收</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4.1</w:t>
      </w:r>
      <w:r>
        <w:rPr>
          <w:rFonts w:hint="eastAsia" w:ascii="宋体" w:hAnsi="宋体" w:cs="宋体"/>
          <w:sz w:val="24"/>
          <w:highlight w:val="none"/>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4.2</w:t>
      </w:r>
      <w:r>
        <w:rPr>
          <w:rFonts w:hint="eastAsia" w:ascii="宋体" w:hAnsi="宋体" w:cs="宋体"/>
          <w:sz w:val="24"/>
          <w:highlight w:val="none"/>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4.3</w:t>
      </w:r>
      <w:r>
        <w:rPr>
          <w:rFonts w:hint="eastAsia" w:ascii="宋体" w:hAnsi="宋体" w:cs="宋体"/>
          <w:sz w:val="24"/>
          <w:highlight w:val="none"/>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4.4</w:t>
      </w:r>
      <w:r>
        <w:rPr>
          <w:rFonts w:hint="eastAsia" w:ascii="宋体" w:hAnsi="宋体" w:cs="宋体"/>
          <w:sz w:val="24"/>
          <w:highlight w:val="none"/>
        </w:rPr>
        <w:t xml:space="preserve">验收时乙方必须在现场，验收完毕后作出验收结果报告；验收费用由甲乙双方协商解决。</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5.组成合同的文件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sz w:val="24"/>
          <w:highlight w:val="none"/>
        </w:rPr>
      </w:pPr>
      <w:r>
        <w:rPr>
          <w:rFonts w:hint="eastAsia" w:ascii="宋体" w:hAnsi="宋体"/>
          <w:sz w:val="24"/>
          <w:highlight w:val="none"/>
        </w:rPr>
        <w:t xml:space="preserve">（1）政府采购合同协议书及其变更、补充协议</w:t>
      </w:r>
      <w:r/>
    </w:p>
    <w:p>
      <w:pPr>
        <w:spacing w:line="360" w:lineRule="auto"/>
        <w:rPr>
          <w:rFonts w:hint="eastAsia" w:ascii="宋体" w:hAnsi="宋体"/>
          <w:sz w:val="24"/>
          <w:highlight w:val="none"/>
        </w:rPr>
      </w:pPr>
      <w:r>
        <w:rPr>
          <w:rFonts w:hint="eastAsia" w:ascii="宋体" w:hAnsi="宋体"/>
          <w:sz w:val="24"/>
          <w:highlight w:val="none"/>
        </w:rPr>
        <w:t xml:space="preserve">（2）政府采购合同专用条款</w:t>
      </w:r>
      <w:r/>
    </w:p>
    <w:p>
      <w:pPr>
        <w:spacing w:line="360" w:lineRule="auto"/>
        <w:rPr>
          <w:rFonts w:hint="eastAsia" w:ascii="宋体" w:hAnsi="宋体"/>
          <w:sz w:val="24"/>
          <w:highlight w:val="none"/>
        </w:rPr>
      </w:pPr>
      <w:r>
        <w:rPr>
          <w:rFonts w:hint="eastAsia" w:ascii="宋体" w:hAnsi="宋体"/>
          <w:sz w:val="24"/>
          <w:highlight w:val="none"/>
        </w:rPr>
        <w:t xml:space="preserve">（3）政府采购合同通用条款</w:t>
      </w:r>
      <w:r/>
    </w:p>
    <w:p>
      <w:pPr>
        <w:spacing w:line="360" w:lineRule="auto"/>
        <w:rPr>
          <w:rFonts w:hint="eastAsia" w:ascii="宋体" w:hAnsi="宋体"/>
          <w:sz w:val="24"/>
          <w:highlight w:val="none"/>
        </w:rPr>
      </w:pPr>
      <w:r>
        <w:rPr>
          <w:rFonts w:hint="eastAsia" w:ascii="宋体" w:hAnsi="宋体"/>
          <w:sz w:val="24"/>
          <w:highlight w:val="none"/>
        </w:rPr>
        <w:t xml:space="preserve">（4）中标（成交）通知书</w:t>
      </w:r>
      <w:r/>
    </w:p>
    <w:p>
      <w:pPr>
        <w:spacing w:line="360" w:lineRule="auto"/>
        <w:rPr>
          <w:rFonts w:hint="eastAsia" w:ascii="宋体" w:hAnsi="宋体"/>
          <w:sz w:val="24"/>
          <w:highlight w:val="none"/>
        </w:rPr>
      </w:pPr>
      <w:r>
        <w:rPr>
          <w:rFonts w:hint="eastAsia" w:ascii="宋体" w:hAnsi="宋体"/>
          <w:sz w:val="24"/>
          <w:highlight w:val="none"/>
        </w:rPr>
        <w:t xml:space="preserve">（5）投标（响应）文件</w:t>
      </w:r>
      <w:r/>
    </w:p>
    <w:p>
      <w:pPr>
        <w:spacing w:line="360" w:lineRule="auto"/>
        <w:rPr>
          <w:rFonts w:hint="eastAsia" w:ascii="宋体" w:hAnsi="宋体"/>
          <w:sz w:val="24"/>
          <w:highlight w:val="none"/>
        </w:rPr>
      </w:pPr>
      <w:r>
        <w:rPr>
          <w:rFonts w:hint="eastAsia" w:ascii="宋体" w:hAnsi="宋体"/>
          <w:sz w:val="24"/>
          <w:highlight w:val="none"/>
        </w:rPr>
        <w:t xml:space="preserve">（6）采购文件</w:t>
      </w:r>
      <w:r/>
    </w:p>
    <w:p>
      <w:pPr>
        <w:spacing w:line="360" w:lineRule="auto"/>
        <w:rPr>
          <w:rFonts w:hint="eastAsia" w:ascii="宋体" w:hAnsi="宋体"/>
          <w:sz w:val="24"/>
          <w:highlight w:val="none"/>
        </w:rPr>
      </w:pPr>
      <w:r>
        <w:rPr>
          <w:rFonts w:hint="eastAsia" w:ascii="宋体" w:hAnsi="宋体"/>
          <w:sz w:val="24"/>
          <w:highlight w:val="none"/>
        </w:rPr>
        <w:t xml:space="preserve">（7）有关技术文件，图纸</w:t>
      </w:r>
      <w:r/>
    </w:p>
    <w:p>
      <w:pPr>
        <w:spacing w:line="360" w:lineRule="auto"/>
        <w:rPr>
          <w:rFonts w:hint="eastAsia" w:ascii="宋体" w:hAnsi="宋体"/>
          <w:sz w:val="24"/>
          <w:highlight w:val="none"/>
        </w:rPr>
      </w:pPr>
      <w:r>
        <w:rPr>
          <w:rFonts w:hint="eastAsia" w:ascii="宋体" w:hAnsi="宋体"/>
          <w:sz w:val="24"/>
          <w:highlight w:val="none"/>
        </w:rPr>
        <w:t xml:space="preserve">（8）国家法律、行政法规和规章制度规定或合同约定的作为合同组成部分的其他文件</w:t>
      </w:r>
      <w:r/>
    </w:p>
    <w:p>
      <w:pPr>
        <w:ind w:firstLine="482"/>
        <w:spacing w:line="400" w:lineRule="exact"/>
        <w:rPr>
          <w:rFonts w:hint="eastAsia" w:ascii="宋体" w:hAnsi="宋体"/>
          <w:b/>
          <w:szCs w:val="21"/>
          <w:highlight w:val="none"/>
        </w:rPr>
      </w:pPr>
      <w:r>
        <w:rPr>
          <w:rFonts w:hint="eastAsia" w:ascii="宋体" w:hAnsi="宋体"/>
          <w:b/>
          <w:sz w:val="24"/>
          <w:highlight w:val="none"/>
        </w:rPr>
        <w:t xml:space="preserve">6.合同生效</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本合同自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日生效。</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7.合同份数</w:t>
      </w:r>
      <w:r/>
    </w:p>
    <w:p>
      <w:pPr>
        <w:ind w:firstLine="480"/>
        <w:spacing w:line="400" w:lineRule="exact"/>
        <w:rPr>
          <w:rFonts w:hint="eastAsia" w:ascii="宋体" w:hAnsi="宋体"/>
          <w:sz w:val="24"/>
          <w:highlight w:val="none"/>
        </w:rPr>
      </w:pPr>
      <w:r>
        <w:rPr>
          <w:rFonts w:hint="eastAsia" w:ascii="宋体" w:hAnsi="宋体"/>
          <w:sz w:val="24"/>
          <w:highlight w:val="none"/>
        </w:rPr>
        <w:t xml:space="preserve">本合同一式</w:t>
      </w:r>
      <w:r>
        <w:rPr>
          <w:rFonts w:hint="eastAsia" w:ascii="宋体" w:hAnsi="宋体"/>
          <w:sz w:val="24"/>
          <w:highlight w:val="none"/>
          <w:u w:val="single"/>
        </w:rPr>
        <w:t xml:space="preserve">    </w:t>
      </w:r>
      <w:r>
        <w:rPr>
          <w:rFonts w:hint="eastAsia" w:ascii="宋体" w:hAnsi="宋体"/>
          <w:sz w:val="24"/>
          <w:highlight w:val="none"/>
        </w:rPr>
        <w:t xml:space="preserve">份，甲方执</w:t>
      </w:r>
      <w:r>
        <w:rPr>
          <w:rFonts w:hint="eastAsia" w:ascii="宋体" w:hAnsi="宋体"/>
          <w:sz w:val="24"/>
          <w:highlight w:val="none"/>
          <w:u w:val="single"/>
        </w:rPr>
        <w:t xml:space="preserve">    </w:t>
      </w:r>
      <w:r>
        <w:rPr>
          <w:rFonts w:hint="eastAsia" w:ascii="宋体" w:hAnsi="宋体"/>
          <w:sz w:val="24"/>
          <w:highlight w:val="none"/>
        </w:rPr>
        <w:t xml:space="preserve">份，乙方执</w:t>
      </w:r>
      <w:r>
        <w:rPr>
          <w:rFonts w:hint="eastAsia" w:ascii="宋体" w:hAnsi="宋体"/>
          <w:sz w:val="24"/>
          <w:highlight w:val="none"/>
          <w:u w:val="single"/>
        </w:rPr>
        <w:t xml:space="preserve">    </w:t>
      </w:r>
      <w:r>
        <w:rPr>
          <w:rFonts w:hint="eastAsia" w:ascii="宋体" w:hAnsi="宋体"/>
          <w:sz w:val="24"/>
          <w:highlight w:val="none"/>
        </w:rPr>
        <w:t xml:space="preserve">份，均具有同等法律效力。</w:t>
      </w:r>
      <w:r/>
    </w:p>
    <w:p>
      <w:pPr>
        <w:ind w:firstLine="480"/>
        <w:spacing w:line="400" w:lineRule="exact"/>
        <w:rPr>
          <w:rFonts w:hint="eastAsia" w:ascii="宋体" w:hAnsi="宋体"/>
          <w:sz w:val="24"/>
          <w:highlight w:val="none"/>
        </w:rPr>
      </w:pPr>
      <w:r>
        <w:rPr>
          <w:rFonts w:hint="eastAsia" w:ascii="宋体" w:hAnsi="宋体"/>
          <w:sz w:val="24"/>
          <w:highlight w:val="none"/>
        </w:rPr>
        <w:t xml:space="preserve">合同订立时间：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480"/>
        <w:spacing w:line="400" w:lineRule="exact"/>
        <w:rPr>
          <w:rFonts w:hint="eastAsia" w:ascii="宋体" w:hAnsi="宋体"/>
          <w:sz w:val="24"/>
          <w:highlight w:val="none"/>
        </w:rPr>
      </w:pPr>
      <w:r>
        <w:rPr>
          <w:rFonts w:hint="eastAsia" w:ascii="宋体" w:hAnsi="宋体"/>
          <w:sz w:val="24"/>
          <w:highlight w:val="none"/>
        </w:rPr>
        <w:t xml:space="preserve">合同订立地点：</w:t>
      </w:r>
      <w:r>
        <w:rPr>
          <w:rFonts w:hint="eastAsia" w:ascii="宋体" w:hAnsi="宋体"/>
          <w:sz w:val="24"/>
          <w:highlight w:val="none"/>
          <w:u w:val="single"/>
        </w:rPr>
        <w:t xml:space="preserve">                           </w:t>
      </w:r>
      <w:r/>
    </w:p>
    <w:p>
      <w:pPr>
        <w:ind w:firstLine="480"/>
        <w:spacing w:line="400" w:lineRule="exact"/>
        <w:rPr>
          <w:sz w:val="24"/>
          <w:highlight w:val="none"/>
        </w:rPr>
      </w:pPr>
      <w:r>
        <w:rPr>
          <w:rFonts w:hint="eastAsia" w:ascii="宋体" w:hAnsi="宋体"/>
          <w:sz w:val="24"/>
          <w:highlight w:val="none"/>
        </w:rPr>
        <w:t xml:space="preserve">附件：具体标的及其技术要求和商务要求、联合协议、分包意向协议等。</w:t>
      </w:r>
      <w:r/>
    </w:p>
    <w:p>
      <w:pPr>
        <w:ind w:firstLine="480"/>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W w:w="4100"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W w:w="194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W w:w="194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357" w:type="dxa"/>
            <w:vAlign w:val="center"/>
            <w:vMerge w:val="restart"/>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074"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W w:w="1941" w:type="dxa"/>
            <w:vAlign w:val="center"/>
            <w:vMerge w:val="continue"/>
            <w:textDirection w:val="lrTb"/>
            <w:noWrap w:val="false"/>
          </w:tcPr>
          <w:p>
            <w:pPr>
              <w:jc w:val="center"/>
              <w:spacing w:line="360" w:lineRule="auto"/>
              <w:rPr>
                <w:sz w:val="24"/>
                <w:highlight w:val="none"/>
              </w:rPr>
            </w:pPr>
            <w:r>
              <w:rPr>
                <w:sz w:val="24"/>
                <w:highlight w:val="none"/>
              </w:rPr>
            </w:r>
            <w:r/>
          </w:p>
        </w:tc>
        <w:tc>
          <w:tcPr>
            <w:tcW w:w="2357" w:type="dxa"/>
            <w:vAlign w:val="center"/>
            <w:vMerge w:val="continue"/>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W w:w="8398"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919"/>
        <w:jc w:val="center"/>
        <w:spacing w:before="156"/>
        <w:rPr>
          <w:rFonts w:ascii="黑体" w:hAnsi="黑体" w:eastAsia="黑体"/>
          <w:sz w:val="28"/>
          <w:szCs w:val="28"/>
          <w:highlight w:val="none"/>
        </w:rPr>
      </w:pPr>
      <w:r>
        <w:rPr>
          <w:highlight w:val="none"/>
          <w:u w:val="single"/>
        </w:rPr>
        <w:br w:type="page" w:clear="all"/>
      </w:r>
      <w:bookmarkStart w:id="163" w:name="_Toc27624"/>
      <w:r/>
      <w:bookmarkStart w:id="164" w:name="_Toc20313"/>
      <w:r>
        <w:rPr>
          <w:rFonts w:ascii="黑体" w:hAnsi="黑体" w:eastAsia="黑体"/>
          <w:b w:val="0"/>
          <w:bCs w:val="0"/>
          <w:sz w:val="28"/>
          <w:szCs w:val="28"/>
          <w:highlight w:val="none"/>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（3）“货物”系指乙方根据本合同规定须向甲方提供的各种形态和种类的物品，包括原材料、设备、产品（包括软件）及相关的备品备件、工具、手册及</w:t>
      </w:r>
      <w:r>
        <w:rPr>
          <w:rFonts w:hint="eastAsia" w:ascii="宋体" w:hAnsi="宋体"/>
          <w:szCs w:val="21"/>
          <w:highlight w:val="none"/>
          <w:lang w:val="en"/>
        </w:rPr>
        <w:t xml:space="preserve">其他</w:t>
      </w:r>
      <w:r>
        <w:rPr>
          <w:rFonts w:hint="eastAsia" w:ascii="宋体" w:hAnsi="宋体"/>
          <w:szCs w:val="21"/>
          <w:highlight w:val="none"/>
        </w:rPr>
        <w:t xml:space="preserve">技术资料和材料等。</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hint="eastAsia" w:ascii="宋体" w:hAnsi="宋体"/>
          <w:szCs w:val="21"/>
          <w:highlight w:val="none"/>
          <w:lang w:val="en"/>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szCs w:val="21"/>
          <w:highlight w:val="none"/>
          <w:lang w:val="en"/>
        </w:rPr>
        <w:t xml:space="preserve">其他</w:t>
      </w:r>
      <w:r>
        <w:rPr>
          <w:rFonts w:hint="eastAsia" w:ascii="宋体" w:hAnsi="宋体"/>
          <w:szCs w:val="21"/>
          <w:highlight w:val="none"/>
        </w:rPr>
        <w:t xml:space="preserve">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2"/>
        </w:numPr>
        <w:jc w:val="left"/>
        <w:spacing w:line="400" w:lineRule="exact"/>
        <w:rPr>
          <w:rFonts w:hint="eastAsia" w:ascii="宋体" w:hAnsi="宋体"/>
          <w:b/>
          <w:bCs/>
          <w:sz w:val="24"/>
          <w:highlight w:val="none"/>
        </w:rPr>
      </w:pPr>
      <w:r>
        <w:rPr>
          <w:rFonts w:hint="eastAsia" w:ascii="宋体" w:hAnsi="宋体"/>
          <w:b/>
          <w:sz w:val="24"/>
          <w:highlight w:val="none"/>
        </w:rPr>
        <w:t xml:space="preserve">合同标的及金额</w:t>
      </w:r>
      <w:r/>
    </w:p>
    <w:p>
      <w:pPr>
        <w:ind w:firstLine="420"/>
        <w:jc w:val="left"/>
        <w:spacing w:line="400" w:lineRule="exact"/>
        <w:rPr>
          <w:rFonts w:hint="eastAsia"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hint="eastAsia" w:ascii="宋体" w:hAnsi="宋体"/>
          <w:szCs w:val="21"/>
          <w:highlight w:val="none"/>
          <w:lang w:val="en"/>
        </w:rPr>
        <w:t xml:space="preserve">其他</w:t>
      </w:r>
      <w:r>
        <w:rPr>
          <w:rFonts w:hint="eastAsia" w:ascii="宋体" w:hAnsi="宋体"/>
          <w:szCs w:val="21"/>
          <w:highlight w:val="none"/>
        </w:rPr>
        <w:t xml:space="preserve">任何费用。</w:t>
      </w:r>
      <w:r/>
    </w:p>
    <w:p>
      <w:pPr>
        <w:jc w:val="left"/>
        <w:spacing w:line="400" w:lineRule="exact"/>
        <w:rPr>
          <w:rFonts w:hint="eastAsia" w:ascii="宋体" w:hAnsi="宋体"/>
          <w:b/>
          <w:sz w:val="24"/>
          <w:highlight w:val="none"/>
        </w:rPr>
      </w:pPr>
      <w:r>
        <w:rPr>
          <w:rFonts w:hint="eastAsia" w:ascii="宋体" w:hAnsi="宋体"/>
          <w:b/>
          <w:sz w:val="24"/>
          <w:highlight w:val="none"/>
        </w:rPr>
        <w:t xml:space="preserve">3. 履行合同的时间、地点和方式</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4. 甲方的权利和义务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4.3 甲方有权要求乙方对缺陷部分予以修复，并按合同约定享有货物保修及其他合同约定的权利。</w:t>
      </w:r>
      <w:r/>
    </w:p>
    <w:p>
      <w:pPr>
        <w:ind w:firstLine="420"/>
        <w:spacing w:line="400" w:lineRule="exact"/>
        <w:rPr>
          <w:rFonts w:eastAsia="华文楷体"/>
          <w:highlight w:val="none"/>
        </w:rPr>
      </w:pPr>
      <w:r>
        <w:rPr>
          <w:rFonts w:hint="eastAsia" w:ascii="宋体" w:hAnsi="宋体"/>
          <w:szCs w:val="21"/>
          <w:highlight w:val="none"/>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5. 乙方的权利和义务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23"/>
        <w:ind w:firstLine="369"/>
        <w:spacing w:after="0" w:line="400" w:lineRule="exact"/>
        <w:rPr>
          <w:rFonts w:hint="eastAsia" w:ascii="宋体" w:hAnsi="宋体" w:cs="宋体"/>
          <w:szCs w:val="21"/>
          <w:highlight w:val="none"/>
        </w:rPr>
      </w:pPr>
      <w:r>
        <w:rPr>
          <w:rFonts w:hint="eastAsia" w:ascii="宋体" w:hAnsi="宋体"/>
          <w:szCs w:val="21"/>
          <w:highlight w:val="none"/>
        </w:rPr>
        <w:t xml:space="preserve">5.3乙方有权</w:t>
      </w:r>
      <w:r>
        <w:rPr>
          <w:rFonts w:hint="eastAsia" w:ascii="宋体" w:hAnsi="宋体" w:cs="宋体"/>
          <w:szCs w:val="21"/>
          <w:highlight w:val="none"/>
        </w:rPr>
        <w:t xml:space="preserve">根据合同约定向甲方收取合同价款。</w:t>
      </w:r>
      <w:r/>
    </w:p>
    <w:p>
      <w:pPr>
        <w:pStyle w:val="923"/>
        <w:ind w:firstLine="369"/>
        <w:spacing w:after="0" w:line="400" w:lineRule="exact"/>
        <w:rPr>
          <w:rFonts w:hint="eastAsia" w:ascii="宋体" w:hAnsi="宋体" w:cs="宋体"/>
          <w:szCs w:val="21"/>
          <w:highlight w:val="none"/>
        </w:rPr>
      </w:pPr>
      <w:r>
        <w:rPr>
          <w:rFonts w:hint="eastAsia" w:ascii="宋体" w:hAnsi="宋体"/>
          <w:szCs w:val="21"/>
          <w:highlight w:val="none"/>
        </w:rPr>
        <w:t xml:space="preserve">5.4</w:t>
      </w:r>
      <w:r>
        <w:rPr>
          <w:rFonts w:hint="eastAsia" w:ascii="宋体" w:hAnsi="宋体" w:cs="宋体"/>
          <w:szCs w:val="21"/>
          <w:highlight w:val="none"/>
        </w:rPr>
        <w:t xml:space="preserve">国家法律法规规定</w:t>
      </w:r>
      <w:r>
        <w:rPr>
          <w:rFonts w:hint="eastAsia" w:ascii="宋体" w:hAnsi="宋体"/>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约定应由乙方承担的其他义务和责任。</w:t>
      </w:r>
      <w:r/>
    </w:p>
    <w:p>
      <w:pPr>
        <w:numPr>
          <w:ilvl w:val="0"/>
          <w:numId w:val="3"/>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7. 货物包装、运输、保险和交付要求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pStyle w:val="938"/>
        <w:ind w:firstLine="420"/>
        <w:rPr>
          <w:rFonts w:hint="eastAsia"/>
          <w:sz w:val="21"/>
          <w:highlight w:val="none"/>
        </w:rPr>
      </w:pPr>
      <w:r>
        <w:rPr>
          <w:rFonts w:hint="eastAsia" w:ascii="宋体" w:hAnsi="宋体" w:eastAsia="宋体" w:cs="Times New Roman"/>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sz w:val="24"/>
          <w:highlight w:val="none"/>
        </w:rPr>
        <w:t xml:space="preserve">8. 质量标准和保证</w:t>
      </w:r>
      <w:r/>
    </w:p>
    <w:p>
      <w:pPr>
        <w:pStyle w:val="924"/>
        <w:ind w:firstLine="420"/>
        <w:jc w:val="left"/>
        <w:spacing w:line="400" w:lineRule="exact"/>
        <w:rPr>
          <w:rFonts w:hint="eastAsia" w:hAnsi="宋体" w:cs="宋体"/>
          <w:b/>
          <w:highlight w:val="none"/>
        </w:rPr>
      </w:pPr>
      <w:r>
        <w:rPr>
          <w:rFonts w:hint="eastAsia" w:hAnsi="宋体" w:cs="宋体"/>
          <w:highlight w:val="none"/>
        </w:rPr>
        <w:t xml:space="preserve">8.1 质量标准</w:t>
      </w:r>
      <w:r/>
    </w:p>
    <w:p>
      <w:pPr>
        <w:pStyle w:val="924"/>
        <w:ind w:firstLine="420"/>
        <w:jc w:val="left"/>
        <w:spacing w:line="400" w:lineRule="exact"/>
        <w:rPr>
          <w:rFonts w:hint="eastAsia" w:hAnsi="宋体" w:cs="宋体"/>
          <w:highlight w:val="none"/>
        </w:rPr>
      </w:pPr>
      <w:r>
        <w:rPr>
          <w:rFonts w:hAnsi="宋体" w:cs="宋体"/>
          <w:highlight w:val="none"/>
        </w:rPr>
        <w:t xml:space="preserve">（1）采购质量标准：项目所有物资（设施、材料设备、构配件等）产品质量须符合相关标准规范及招标文件的要求，合格率达到100%。</w:t>
      </w:r>
      <w:r/>
    </w:p>
    <w:p>
      <w:pPr>
        <w:pStyle w:val="924"/>
        <w:ind w:firstLine="420"/>
        <w:jc w:val="left"/>
        <w:spacing w:line="400" w:lineRule="exact"/>
        <w:rPr>
          <w:rFonts w:hint="eastAsia" w:hAnsi="宋体" w:cs="宋体"/>
          <w:highlight w:val="none"/>
        </w:rPr>
      </w:pPr>
      <w:r>
        <w:rPr>
          <w:rFonts w:hAnsi="宋体" w:cs="宋体"/>
          <w:highlight w:val="none"/>
        </w:rPr>
        <w:t xml:space="preserve">（2）安装建设标准：确保设备选型符合环境与技术参数要求，安装过程需同步规划、规范安全施工并严格验收，同时实现数据互联互通与平台化管理，最终满足安防实效性与项目需求。</w:t>
      </w:r>
      <w:r/>
    </w:p>
    <w:p>
      <w:pPr>
        <w:pStyle w:val="924"/>
        <w:ind w:firstLine="420"/>
        <w:jc w:val="left"/>
        <w:spacing w:line="400" w:lineRule="exact"/>
        <w:rPr>
          <w:rFonts w:hint="eastAsia" w:hAnsi="宋体" w:cs="宋体"/>
          <w:highlight w:val="none"/>
        </w:rPr>
      </w:pPr>
      <w:r>
        <w:rPr>
          <w:rFonts w:hAnsi="宋体" w:cs="宋体"/>
          <w:highlight w:val="none"/>
        </w:rPr>
        <w:t xml:space="preserve">（</w:t>
      </w:r>
      <w:r>
        <w:rPr>
          <w:rFonts w:hint="eastAsia" w:hAnsi="宋体" w:cs="宋体"/>
          <w:highlight w:val="none"/>
        </w:rPr>
        <w:t xml:space="preserve">3</w:t>
      </w:r>
      <w:r>
        <w:rPr>
          <w:rFonts w:hAnsi="宋体" w:cs="宋体"/>
          <w:highlight w:val="none"/>
        </w:rPr>
        <w:t xml:space="preserve">）采集标准：根据江苏省公安厅下发《关于印发&lt;智慧版技防城建设标准&gt;的通知》（苏公厅〔2021〕704号），结合《智慧版技防城建设标准》要求第二、第三项内容，一类视频监控、公安</w:t>
      </w:r>
      <w:r>
        <w:rPr>
          <w:rFonts w:hAnsi="宋体" w:cs="宋体"/>
          <w:highlight w:val="none"/>
        </w:rPr>
        <w:t xml:space="preserve">机关自建等视频图像设备的建档率、基础信息填报、业务标签准确率达到100%；图像数据准确率、及时率、大图地址可用率均达到90%以上，确保图像数据比对准确，实战研判可及时调阅现场图片；人像结构化信息和图片数据，确保静态人像库数据可解析率达到95%以上；整治人员基础信息和图片数据，确保基础信息准确率达到100%；重点关注点位实时、历史视频流可调阅率达到98%以上，字幕标注及时钟准确率达到99%以上；人像档案准确率达到95%，车辆档案各类信息准确率达到90%；查询、比对、布控等基础通用接口接口畅通率达到95%以上。</w:t>
      </w:r>
      <w:r/>
    </w:p>
    <w:p>
      <w:pPr>
        <w:pStyle w:val="924"/>
        <w:ind w:firstLine="420"/>
        <w:jc w:val="left"/>
        <w:spacing w:line="400" w:lineRule="exact"/>
        <w:rPr>
          <w:rFonts w:hint="eastAsia" w:hAnsi="宋体" w:cs="宋体"/>
          <w:highlight w:val="none"/>
        </w:rPr>
      </w:pPr>
      <w:r>
        <w:rPr>
          <w:rFonts w:hAnsi="宋体" w:cs="宋体"/>
          <w:highlight w:val="none"/>
        </w:rPr>
        <w:t xml:space="preserve">对视频流数据、图像数据、物联数据、业务关注数据等数据资源开展规范化的数据治理活动，对相关数据的接入、处理、组织、服务提供全方位的质量管控与保障，确保各类技防监控采集数据的可利用率达到90%以上。</w:t>
      </w:r>
      <w:r/>
    </w:p>
    <w:p>
      <w:pPr>
        <w:pStyle w:val="924"/>
        <w:ind w:firstLine="420"/>
        <w:jc w:val="left"/>
        <w:spacing w:line="400" w:lineRule="exact"/>
        <w:rPr>
          <w:rFonts w:hint="eastAsia" w:hAnsi="宋体" w:cs="宋体"/>
          <w:highlight w:val="none"/>
        </w:rPr>
      </w:pPr>
      <w:r>
        <w:rPr>
          <w:rFonts w:hAnsi="宋体" w:cs="宋体"/>
          <w:highlight w:val="none"/>
        </w:rPr>
        <w:t xml:space="preserve">（</w:t>
      </w:r>
      <w:r>
        <w:rPr>
          <w:rFonts w:hint="eastAsia" w:hAnsi="宋体" w:cs="宋体"/>
          <w:highlight w:val="none"/>
        </w:rPr>
        <w:t xml:space="preserve">4</w:t>
      </w:r>
      <w:r>
        <w:rPr>
          <w:rFonts w:hAnsi="宋体" w:cs="宋体"/>
          <w:highlight w:val="none"/>
        </w:rPr>
        <w:t xml:space="preserve">）国家标准：要求设备选型合规、数据加密与隐私保护达标，同时需符合网络安全法及技术规范。</w:t>
      </w:r>
      <w:r/>
    </w:p>
    <w:p>
      <w:pPr>
        <w:pStyle w:val="924"/>
        <w:ind w:firstLine="420"/>
        <w:jc w:val="left"/>
        <w:spacing w:line="400" w:lineRule="exact"/>
        <w:rPr>
          <w:rFonts w:hint="eastAsia" w:hAnsi="宋体" w:cs="宋体"/>
          <w:highlight w:val="none"/>
        </w:rPr>
      </w:pPr>
      <w:r>
        <w:rPr>
          <w:rFonts w:hAnsi="宋体" w:cs="宋体"/>
          <w:highlight w:val="none"/>
        </w:rPr>
        <w:t xml:space="preserve">（</w:t>
      </w:r>
      <w:r>
        <w:rPr>
          <w:rFonts w:hint="eastAsia" w:hAnsi="宋体" w:cs="宋体"/>
          <w:highlight w:val="none"/>
        </w:rPr>
        <w:t xml:space="preserve">5</w:t>
      </w:r>
      <w:r>
        <w:rPr>
          <w:rFonts w:hAnsi="宋体" w:cs="宋体"/>
          <w:highlight w:val="none"/>
        </w:rPr>
        <w:t xml:space="preserve">）质保维护标准：五年免费质保+终身有偿维护，提供分级响应服务，涵盖设备、网络、数据全链条。</w:t>
      </w:r>
      <w:r/>
    </w:p>
    <w:p>
      <w:pPr>
        <w:pStyle w:val="924"/>
        <w:ind w:firstLine="420"/>
        <w:jc w:val="left"/>
        <w:spacing w:line="400" w:lineRule="exact"/>
        <w:rPr>
          <w:rFonts w:hint="eastAsia" w:hAnsi="宋体" w:cs="宋体"/>
          <w:highlight w:val="none"/>
        </w:rPr>
      </w:pPr>
      <w:r>
        <w:rPr>
          <w:rFonts w:hint="eastAsia" w:hAnsi="宋体" w:cs="宋体"/>
          <w:highlight w:val="none"/>
        </w:rPr>
        <w:t xml:space="preserve">（6）采用中华人民共和国法定计量单位。</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（7）乙方所提供的货物应符合国家有关安全、环保、卫生的规定。</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（8）乙方应向甲方提交所提供货物的技术文件，包括相应的中文技术文件，如：产品目录、图纸、操作手册、使用说明、维护手册或服务指南等。上述文件应包装好随货物一同发运。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9. 权利瑕疵担保</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12.1 合同签定后，甲方在收到乙方开具合同价款30%的预付款银行保函后支付预付款；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p>
    <w:p>
      <w:pPr>
        <w:pStyle w:val="923"/>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注：1）将合同价款30%的预付款汇入农民工工资专用账户。</w:t>
      </w:r>
      <w:r/>
    </w:p>
    <w:p>
      <w:pPr>
        <w:pStyle w:val="923"/>
        <w:ind w:firstLine="420"/>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2）项目竣工验收完成后,项目建设单位须将所有项目材料装订成册，移交县局档案室统一管理。</w:t>
      </w:r>
      <w:r/>
    </w:p>
    <w:p>
      <w:pPr>
        <w:pStyle w:val="923"/>
        <w:ind w:firstLine="420"/>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p>
    <w:p>
      <w:pPr>
        <w:pStyle w:val="923"/>
        <w:ind w:firstLine="420"/>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4）通过竣工验收的项目，未向县局档案室移交档案的，或者未向警保部门登记国有资产入库的，不得支付项目尾款。</w:t>
      </w:r>
      <w:r/>
    </w:p>
    <w:p>
      <w:pPr>
        <w:pStyle w:val="923"/>
        <w:ind w:firstLine="420"/>
        <w:spacing w:after="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5）项目建设单位应当在项目验收合格后一个月内向审计部门提交项目材料并申请审计，项目结算审计核减金额超过送审金额的10%，审计费用由承建单位承担。</w:t>
      </w:r>
      <w:r/>
    </w:p>
    <w:p>
      <w:pPr>
        <w:pStyle w:val="923"/>
        <w:ind w:firstLine="420"/>
        <w:spacing w:after="0" w:line="400" w:lineRule="exact"/>
        <w:rPr>
          <w:rFonts w:hint="eastAsia" w:ascii="宋体" w:hAnsi="宋体" w:cs="宋体"/>
          <w:color w:val="000000"/>
          <w:szCs w:val="21"/>
          <w:highlight w:val="none"/>
        </w:rPr>
      </w:pPr>
      <w:r/>
      <w:bookmarkStart w:id="166" w:name="OLE_LINK2"/>
      <w:r>
        <w:rPr>
          <w:rFonts w:hint="eastAsia" w:ascii="宋体" w:hAnsi="宋体" w:cs="宋体"/>
          <w:color w:val="000000"/>
          <w:szCs w:val="21"/>
          <w:highlight w:val="none"/>
        </w:rPr>
        <w:t xml:space="preserve">6）</w:t>
      </w:r>
      <w:r>
        <w:rPr>
          <w:rFonts w:ascii="宋体" w:hAnsi="宋体" w:cs="宋体"/>
          <w:color w:val="000000"/>
          <w:szCs w:val="21"/>
          <w:highlight w:val="none"/>
        </w:rPr>
        <w:t xml:space="preserve">对于满足合同约定支付条件的，采购人应当自收到发票后 10个工作日内将资金支付到合同约定的供应商账户</w:t>
      </w:r>
      <w:bookmarkEnd w:id="166"/>
      <w:r>
        <w:rPr>
          <w:rFonts w:ascii="宋体" w:hAnsi="宋体" w:cs="宋体"/>
          <w:color w:val="000000"/>
          <w:szCs w:val="21"/>
          <w:highlight w:val="none"/>
        </w:rPr>
        <w:t xml:space="preserve">。</w:t>
      </w:r>
      <w:r/>
    </w:p>
    <w:p>
      <w:pPr>
        <w:pStyle w:val="923"/>
        <w:spacing w:after="0" w:line="400" w:lineRule="exact"/>
        <w:rPr>
          <w:rFonts w:hint="eastAsia"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hint="eastAsia"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38"/>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15.7 乙方不能履行售后服务条款的，按违约处理。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8"/>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38"/>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38"/>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ind w:firstLine="420"/>
        <w:jc w:val="left"/>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17.3 乙方可将本项目非主体、非关键部分分包给具备相应资质的单位施工；主体及核心项目不得分包。分包须经采购人书面同意，禁止二次分包，乙方对分包工程承担连带责任。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923"/>
        <w:ind w:firstLine="420"/>
        <w:spacing w:after="0" w:line="400" w:lineRule="exact"/>
        <w:rPr>
          <w:highlight w:val="none"/>
        </w:rPr>
      </w:pPr>
      <w:r>
        <w:rPr>
          <w:rFonts w:hint="eastAsia" w:ascii="宋体" w:hAnsi="宋体"/>
          <w:szCs w:val="21"/>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93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38"/>
        <w:ind w:firstLine="0"/>
        <w:jc w:val="both"/>
        <w:spacing w:line="380" w:lineRule="exact"/>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38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hint="eastAsia"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hint="eastAsia" w:ascii="黑体" w:hAnsi="华文中宋" w:eastAsia="黑体"/>
          <w:sz w:val="24"/>
          <w:highlight w:val="none"/>
        </w:rPr>
        <w:outlineLvl w:val="1"/>
      </w:pPr>
      <w:r>
        <w:rPr>
          <w:rFonts w:hint="eastAsia" w:ascii="黑体" w:hAnsi="华文中宋" w:eastAsia="黑体"/>
          <w:sz w:val="24"/>
          <w:highlight w:val="none"/>
        </w:rPr>
        <w:t xml:space="preserve">第三节 政府采购合同专用条款</w:t>
      </w:r>
      <w:bookmarkEnd w:id="164"/>
      <w:r/>
      <w:r/>
    </w:p>
    <w:tbl>
      <w:tblPr>
        <w:tblStyle w:val="742"/>
        <w:tblW w:w="9987" w:type="dxa"/>
        <w:tblInd w:w="-8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37"/>
        <w:gridCol w:w="1763"/>
        <w:gridCol w:w="6487"/>
      </w:tblGrid>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第1.2（6）项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联合体具体要求</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无</w:t>
            </w:r>
            <w:r/>
          </w:p>
        </w:tc>
      </w:tr>
      <w:tr>
        <w:trPr>
          <w:trHeight w:val="604"/>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第1.2（7）项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其他术语解释</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无</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第4.4款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履约验收中甲方提出异议或作出说明的期限</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十五个工作日内</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第4.6款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约定甲方承担的其他义务和责任</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同合同通用条款</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sz w:val="24"/>
                <w:highlight w:val="none"/>
              </w:rPr>
            </w:pPr>
            <w:r>
              <w:rPr>
                <w:rFonts w:hint="eastAsia" w:ascii="宋体" w:hAnsi="宋体"/>
                <w:sz w:val="24"/>
                <w:highlight w:val="none"/>
              </w:rPr>
              <w:t xml:space="preserve">第5.4款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约定乙方承担的其他义务和责任</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同合同通用条款</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第6.1款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履行合同义务的顺序</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详见协议书第5条</w:t>
            </w:r>
            <w:r/>
          </w:p>
        </w:tc>
      </w:tr>
      <w:tr>
        <w:trPr>
          <w:cantSplit/>
          <w:trHeight w:val="8065"/>
        </w:trPr>
        <w:tc>
          <w:tcPr>
            <w:tcW w:w="1737"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第7.1款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包装特殊要求</w:t>
            </w:r>
            <w:r/>
          </w:p>
        </w:tc>
        <w:tc>
          <w:tcPr>
            <w:tcW w:w="6487" w:type="dxa"/>
            <w:vAlign w:val="center"/>
            <w:textDirection w:val="lrTb"/>
            <w:noWrap w:val="false"/>
          </w:tcPr>
          <w:p>
            <w:pPr>
              <w:rPr>
                <w:sz w:val="24"/>
                <w:highlight w:val="none"/>
              </w:rPr>
            </w:pPr>
            <w:r>
              <w:rPr>
                <w:rFonts w:hint="eastAsia"/>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highlight w:val="none"/>
              </w:rPr>
            </w:pPr>
            <w:r>
              <w:rPr>
                <w:rFonts w:hint="eastAsia"/>
                <w:sz w:val="24"/>
                <w:highlight w:val="none"/>
              </w:rPr>
              <w:t xml:space="preserve">1.商品包装层数不得超过3 层，空隙率不大于40%；</w:t>
            </w:r>
            <w:r/>
          </w:p>
          <w:p>
            <w:pPr>
              <w:rPr>
                <w:sz w:val="24"/>
                <w:highlight w:val="none"/>
              </w:rPr>
            </w:pPr>
            <w:r>
              <w:rPr>
                <w:rFonts w:hint="eastAsia"/>
                <w:sz w:val="24"/>
                <w:highlight w:val="none"/>
              </w:rPr>
              <w:t xml:space="preserve">2.商品包装尽可能使用单一材质的包装材料，如因功能需求必需使用不同材质，不同材质间应便于分离；</w:t>
            </w:r>
            <w:r/>
          </w:p>
          <w:p>
            <w:pPr>
              <w:rPr>
                <w:sz w:val="24"/>
                <w:highlight w:val="none"/>
              </w:rPr>
            </w:pPr>
            <w:r>
              <w:rPr>
                <w:rFonts w:hint="eastAsia"/>
                <w:sz w:val="24"/>
                <w:highlight w:val="none"/>
              </w:rPr>
              <w:t xml:space="preserve">3.商品包装中铅、汞、镉、六价铬的总含量应不大于100mg/kg；</w:t>
            </w:r>
            <w:r/>
          </w:p>
          <w:p>
            <w:pPr>
              <w:rPr>
                <w:sz w:val="24"/>
                <w:highlight w:val="none"/>
              </w:rPr>
            </w:pPr>
            <w:r>
              <w:rPr>
                <w:rFonts w:hint="eastAsia"/>
                <w:sz w:val="24"/>
                <w:highlight w:val="none"/>
              </w:rPr>
              <w:t xml:space="preserve">4.商品包装印刷使用的油墨中挥发性有机化合物(VOCs)含量应不大于 5%（以重量计）；</w:t>
            </w:r>
            <w:r/>
          </w:p>
          <w:p>
            <w:pPr>
              <w:rPr>
                <w:sz w:val="24"/>
                <w:highlight w:val="none"/>
              </w:rPr>
            </w:pPr>
            <w:r>
              <w:rPr>
                <w:rFonts w:hint="eastAsia"/>
                <w:sz w:val="24"/>
                <w:highlight w:val="none"/>
              </w:rPr>
              <w:t xml:space="preserve">5.塑料材质商品包装上呈现的印刷颜色不得超过6色；</w:t>
            </w:r>
            <w:r/>
          </w:p>
          <w:p>
            <w:pPr>
              <w:rPr>
                <w:sz w:val="24"/>
                <w:highlight w:val="none"/>
              </w:rPr>
            </w:pPr>
            <w:r>
              <w:rPr>
                <w:rFonts w:hint="eastAsia"/>
                <w:sz w:val="24"/>
                <w:highlight w:val="none"/>
              </w:rPr>
              <w:t xml:space="preserve">6.纸质商品包装应使用75%以上的可再生纤维原料生产；</w:t>
            </w:r>
            <w:r/>
          </w:p>
          <w:p>
            <w:pPr>
              <w:rPr>
                <w:sz w:val="24"/>
                <w:highlight w:val="none"/>
              </w:rPr>
            </w:pPr>
            <w:r>
              <w:rPr>
                <w:rFonts w:hint="eastAsia"/>
                <w:sz w:val="24"/>
                <w:highlight w:val="none"/>
              </w:rPr>
              <w:t xml:space="preserve">7.木质商品包装的原料应来源于可持续性森林。</w:t>
            </w:r>
            <w:r/>
          </w:p>
          <w:p>
            <w:pPr>
              <w:rPr>
                <w:sz w:val="24"/>
                <w:highlight w:val="none"/>
              </w:rPr>
            </w:pPr>
            <w:r>
              <w:rPr>
                <w:rFonts w:hint="eastAsia"/>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highlight w:val="none"/>
              </w:rPr>
            </w:pPr>
            <w:r>
              <w:rPr>
                <w:rFonts w:hint="eastAsia"/>
                <w:sz w:val="24"/>
                <w:highlight w:val="none"/>
              </w:rPr>
              <w:t xml:space="preserve">9每件包装箱内应附一份详细装箱单和质量合格凭证。</w:t>
            </w:r>
            <w:r/>
          </w:p>
        </w:tc>
      </w:tr>
      <w:tr>
        <w:trPr>
          <w:cantSplit/>
          <w:trHeight w:val="667"/>
        </w:trPr>
        <w:tc>
          <w:tcPr>
            <w:tcW w:w="1737" w:type="dxa"/>
            <w:vAlign w:val="center"/>
            <w:vMerge w:val="continue"/>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指定现场</w:t>
            </w:r>
            <w:r/>
          </w:p>
        </w:tc>
        <w:tc>
          <w:tcPr>
            <w:tcW w:w="6487" w:type="dxa"/>
            <w:vAlign w:val="center"/>
            <w:textDirection w:val="lrTb"/>
            <w:noWrap w:val="false"/>
          </w:tcPr>
          <w:p>
            <w:pPr>
              <w:jc w:val="left"/>
              <w:rPr>
                <w:sz w:val="24"/>
                <w:highlight w:val="none"/>
              </w:rPr>
            </w:pPr>
            <w:r>
              <w:rPr>
                <w:rFonts w:hint="eastAsia"/>
                <w:sz w:val="24"/>
                <w:highlight w:val="none"/>
              </w:rPr>
              <w:t xml:space="preserve">同协议书</w:t>
            </w:r>
            <w:r/>
          </w:p>
        </w:tc>
      </w:tr>
      <w:tr>
        <w:trPr>
          <w:trHeight w:val="772"/>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第7.2款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运输特殊要求</w:t>
            </w:r>
            <w:r/>
          </w:p>
        </w:tc>
        <w:tc>
          <w:tcPr>
            <w:tcW w:w="6487" w:type="dxa"/>
            <w:vAlign w:val="center"/>
            <w:textDirection w:val="lrTb"/>
            <w:noWrap w:val="false"/>
          </w:tcPr>
          <w:p>
            <w:pPr>
              <w:rPr>
                <w:sz w:val="24"/>
                <w:highlight w:val="none"/>
              </w:rPr>
            </w:pPr>
            <w:r>
              <w:rPr>
                <w:rFonts w:hint="eastAsia"/>
                <w:sz w:val="24"/>
                <w:highlight w:val="none"/>
              </w:rPr>
              <w:t xml:space="preserve">1.货物验收合格、交付使用并提供所需单据的日期视为交货日期。</w:t>
            </w:r>
            <w:r/>
          </w:p>
          <w:p>
            <w:pPr>
              <w:pStyle w:val="938"/>
              <w:ind w:firstLine="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2.乙方在货物发运手续办理完毕后24小时内或货到48小时前通知甲方，以准备接货。（具体时间根据双方实际需求调整）</w:t>
            </w:r>
            <w:r/>
          </w:p>
          <w:p>
            <w:pPr>
              <w:rPr>
                <w:sz w:val="24"/>
                <w:highlight w:val="none"/>
              </w:rPr>
            </w:pPr>
            <w:r>
              <w:rPr>
                <w:rFonts w:hint="eastAsia"/>
                <w:sz w:val="24"/>
                <w:highlight w:val="none"/>
              </w:rPr>
              <w:t xml:space="preserve">3.乙方装运的货物不应超过合同规定的数量或重量。乙方应对超交数量或超重而产生的一切后果负责。</w:t>
            </w:r>
            <w:r/>
          </w:p>
          <w:p>
            <w:pPr>
              <w:pStyle w:val="938"/>
              <w:ind w:firstLine="0"/>
              <w:rPr>
                <w:rFonts w:hint="eastAsia"/>
                <w:highlight w:val="none"/>
              </w:rPr>
            </w:pPr>
            <w:r>
              <w:rPr>
                <w:rFonts w:hint="eastAsia" w:ascii="Times New Roman" w:hAnsi="Times New Roman" w:eastAsia="宋体" w:cs="Times New Roman"/>
                <w:sz w:val="24"/>
                <w:szCs w:val="24"/>
                <w:highlight w:val="none"/>
              </w:rPr>
              <w:t xml:space="preserve">4.货物在交付甲方前发生的风险均由乙方负责。</w:t>
            </w:r>
            <w:r/>
          </w:p>
        </w:tc>
      </w:tr>
      <w:tr>
        <w:trPr>
          <w:trHeight w:val="667"/>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第7.3款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保险要求</w:t>
            </w:r>
            <w:r/>
          </w:p>
        </w:tc>
        <w:tc>
          <w:tcPr>
            <w:tcW w:w="6487" w:type="dxa"/>
            <w:vAlign w:val="center"/>
            <w:textDirection w:val="lrTb"/>
            <w:noWrap w:val="false"/>
          </w:tcPr>
          <w:p>
            <w:pPr>
              <w:rPr>
                <w:sz w:val="24"/>
                <w:highlight w:val="none"/>
              </w:rPr>
            </w:pPr>
            <w:r>
              <w:rPr>
                <w:sz w:val="24"/>
                <w:highlight w:val="none"/>
              </w:rPr>
              <w:t xml:space="preserve">货物交货前由乙方承担保险义务</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第8.2（1）项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质量保证期</w:t>
            </w:r>
            <w:r/>
          </w:p>
        </w:tc>
        <w:tc>
          <w:tcPr>
            <w:tcW w:w="6487" w:type="dxa"/>
            <w:vAlign w:val="center"/>
            <w:textDirection w:val="lrTb"/>
            <w:noWrap w:val="false"/>
          </w:tcPr>
          <w:p>
            <w:pPr>
              <w:pStyle w:val="929"/>
              <w:ind w:left="480" w:hanging="480"/>
              <w:jc w:val="both"/>
              <w:spacing w:before="120" w:beforeAutospacing="0" w:after="120" w:afterAutospacing="0"/>
              <w:rPr>
                <w:rFonts w:hint="eastAsia" w:ascii="宋体" w:hAnsi="宋体"/>
                <w:highlight w:val="none"/>
              </w:rPr>
            </w:pPr>
            <w:r>
              <w:rPr>
                <w:rFonts w:hint="eastAsia" w:ascii="宋体" w:hAnsi="宋体"/>
                <w:highlight w:val="none"/>
              </w:rPr>
              <w:t xml:space="preserve">货物免费质保期</w:t>
            </w:r>
            <w:r>
              <w:rPr>
                <w:rFonts w:hint="eastAsia" w:ascii="宋体" w:hAnsi="宋体"/>
                <w:highlight w:val="none"/>
                <w:lang w:eastAsia="zh-CN"/>
              </w:rPr>
              <w:t xml:space="preserve">：</w:t>
            </w:r>
            <w:r>
              <w:rPr>
                <w:rFonts w:hint="eastAsia" w:ascii="宋体" w:hAnsi="宋体" w:cs="宋体"/>
                <w:u w:val="none"/>
                <w:lang w:eastAsia="zh-CN"/>
              </w:rPr>
              <w:t xml:space="preserve">五年（自项目竣工验收合格之日起计算）</w:t>
            </w:r>
            <w:r>
              <w:rPr>
                <w:rFonts w:hint="eastAsia" w:ascii="宋体" w:hAnsi="宋体" w:cs="宋体"/>
                <w:highlight w:val="none"/>
              </w:rPr>
              <w:t xml:space="preserve">。</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第8.2（3）项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货物质量缺陷</w:t>
            </w:r>
            <w:r/>
          </w:p>
          <w:p>
            <w:pPr>
              <w:jc w:val="left"/>
              <w:rPr>
                <w:rFonts w:hint="eastAsia" w:ascii="宋体" w:hAnsi="宋体"/>
                <w:sz w:val="24"/>
                <w:highlight w:val="none"/>
              </w:rPr>
            </w:pPr>
            <w:r>
              <w:rPr>
                <w:rFonts w:hint="eastAsia" w:ascii="宋体" w:hAnsi="宋体"/>
                <w:sz w:val="24"/>
                <w:highlight w:val="none"/>
              </w:rPr>
              <w:t xml:space="preserve">响应时间</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如在使用过程中发生质量问题，乙方在接到甲方通知后在</w:t>
            </w:r>
            <w:r>
              <w:rPr>
                <w:rFonts w:hint="eastAsia" w:ascii="宋体" w:hAnsi="宋体"/>
                <w:sz w:val="24"/>
                <w:highlight w:val="none"/>
                <w:u w:val="single"/>
              </w:rPr>
              <w:t xml:space="preserve">7*24 </w:t>
            </w:r>
            <w:r>
              <w:rPr>
                <w:rFonts w:hint="eastAsia" w:ascii="宋体" w:hAnsi="宋体"/>
                <w:sz w:val="24"/>
                <w:highlight w:val="none"/>
              </w:rPr>
              <w:t xml:space="preserve">小时内到达甲方现场</w:t>
            </w:r>
            <w:r>
              <w:rPr>
                <w:rFonts w:hint="eastAsia" w:ascii="宋体" w:hAnsi="宋体" w:cs="宋体"/>
                <w:color w:val="000000"/>
                <w:sz w:val="24"/>
                <w:highlight w:val="none"/>
              </w:rPr>
              <w:t xml:space="preserve">，并在2小时内抵达甲方现场进行处置</w:t>
            </w:r>
            <w:r>
              <w:rPr>
                <w:rFonts w:hint="eastAsia" w:ascii="宋体" w:hAnsi="宋体"/>
                <w:sz w:val="24"/>
                <w:highlight w:val="none"/>
              </w:rPr>
              <w:t xml:space="preserve">。</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第8款补充</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质量保证要求</w:t>
            </w:r>
            <w:r/>
          </w:p>
        </w:tc>
        <w:tc>
          <w:tcPr>
            <w:tcW w:w="6487"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1.在质保期内，乙方应对货物出现的质量及安全问题负责处理解决并承担一切费用（因甲方不当使用的除外）。</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9"/>
              <w:ind w:left="480" w:hanging="480"/>
              <w:spacing w:before="120" w:beforeAutospacing="0" w:after="120" w:afterAutospacing="0"/>
              <w:rPr>
                <w:rFonts w:hint="eastAsia" w:ascii="宋体" w:hAnsi="宋体" w:cs="宋体"/>
                <w:color w:val="000000"/>
                <w:highlight w:val="none"/>
              </w:rPr>
            </w:pPr>
            <w:r>
              <w:rPr>
                <w:rFonts w:hint="eastAsia" w:ascii="宋体" w:hAnsi="宋体" w:cs="宋体"/>
                <w:color w:val="000000"/>
                <w:highlight w:val="none"/>
              </w:rPr>
              <w:t xml:space="preserve">8.乙方应保证货物是全新、未使用过的，是用</w:t>
            </w:r>
            <w:r/>
          </w:p>
          <w:p>
            <w:pPr>
              <w:pStyle w:val="929"/>
              <w:ind w:left="480" w:hanging="480"/>
              <w:spacing w:before="120" w:beforeAutospacing="0" w:after="120" w:afterAutospacing="0"/>
              <w:rPr>
                <w:rFonts w:hint="eastAsia" w:ascii="宋体" w:hAnsi="宋体" w:cs="宋体"/>
                <w:color w:val="000000"/>
                <w:highlight w:val="none"/>
              </w:rPr>
            </w:pPr>
            <w:r>
              <w:rPr>
                <w:rFonts w:hint="eastAsia" w:ascii="宋体" w:hAnsi="宋体" w:cs="宋体"/>
                <w:color w:val="000000"/>
                <w:highlight w:val="none"/>
              </w:rPr>
              <w:t xml:space="preserve">一流的工艺和最佳材料制造的、合法渠道进货</w:t>
            </w:r>
            <w:r/>
          </w:p>
          <w:p>
            <w:pPr>
              <w:pStyle w:val="929"/>
              <w:ind w:left="480" w:hanging="480"/>
              <w:spacing w:before="120" w:beforeAutospacing="0" w:after="120" w:afterAutospacing="0"/>
              <w:rPr>
                <w:rFonts w:hint="eastAsia" w:ascii="宋体" w:hAnsi="宋体" w:cs="宋体"/>
                <w:color w:val="000000"/>
                <w:highlight w:val="none"/>
              </w:rPr>
            </w:pPr>
            <w:r>
              <w:rPr>
                <w:rFonts w:hint="eastAsia" w:ascii="宋体" w:hAnsi="宋体" w:cs="宋体"/>
                <w:color w:val="000000"/>
                <w:highlight w:val="none"/>
              </w:rPr>
              <w:t xml:space="preserve">的正宗、未使用过的原装合格正品，产品质量</w:t>
            </w:r>
            <w:r/>
          </w:p>
          <w:p>
            <w:pPr>
              <w:pStyle w:val="929"/>
              <w:spacing w:before="120" w:beforeAutospacing="0" w:after="120" w:afterAutospacing="0"/>
              <w:rPr>
                <w:rFonts w:hint="eastAsia" w:ascii="宋体" w:hAnsi="宋体" w:cs="宋体"/>
                <w:color w:val="000000"/>
                <w:highlight w:val="none"/>
              </w:rPr>
            </w:pPr>
            <w:r>
              <w:rPr>
                <w:rFonts w:hint="eastAsia" w:ascii="宋体" w:hAnsi="宋体" w:cs="宋体"/>
                <w:color w:val="000000"/>
                <w:highlight w:val="none"/>
              </w:rPr>
              <w:t xml:space="preserve">完全符合国家规定的产品质量标准，并完全符合合同规定的质量、规格和性能的要求。乙方应保证其货物在正确安装、正常使用和保养条件下，在其使用寿命期内应具有满意的性能。</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采购质量标准：项目所有物资（设施、材料设备、构配件等）产品质量须符合相关标准规范及招标文件的要求，合格率达到100%。</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安装建设标准：确保设备选型符合环境与技术参数要求，安装过程需同步规划、规范安全施工并严格验收，同时实现数据互联互通与平台化管理，最终满足安防实效性与项目需求。</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t xml:space="preserve">采集标准：根据江苏省公安厅下发《关于印发&lt;智慧版技防城建设标准&gt;的通知》（苏公厅〔2021〕704号），结合《智慧版技防城建设标准》要求第二、第三项内容，一类视频监控、公安</w:t>
            </w:r>
            <w:r>
              <w:rPr>
                <w:rFonts w:ascii="宋体" w:hAnsi="宋体" w:cs="宋体"/>
                <w:color w:val="000000"/>
                <w:sz w:val="24"/>
                <w:highlight w:val="none"/>
              </w:rPr>
              <w:t xml:space="preserve">机关自建等视频图像设备的建档率、基础信息填报、业务标签准确率达到100%；图像数据准确率、及时率、大图地址可用率均达到90%以上，确保图像数据比对准确，实战研判可及时调阅现场图片；人像结构化信息和图片数据，确保静态人像库数据可解析率达到95%以上；整治人员基础信息和图片数据，确保基础信息准确率达到100%；重点关注点位实时、历史视频流可调阅率达到98%以上，字幕标注及时钟准确率达到99%以上；人像档案准确率达到95%，车辆档案各类信息准确率达到90%；查询、比对、布控等基础通用接口接口畅通率达到95%以上。</w:t>
            </w:r>
            <w:r/>
          </w:p>
          <w:p>
            <w:pPr>
              <w:jc w:val="left"/>
              <w:rPr>
                <w:rFonts w:hint="eastAsia" w:ascii="宋体" w:hAnsi="宋体" w:cs="宋体"/>
                <w:color w:val="000000"/>
                <w:sz w:val="24"/>
                <w:highlight w:val="none"/>
              </w:rPr>
            </w:pPr>
            <w:r>
              <w:rPr>
                <w:rFonts w:ascii="宋体" w:hAnsi="宋体" w:cs="宋体"/>
                <w:color w:val="000000"/>
                <w:sz w:val="24"/>
                <w:highlight w:val="none"/>
              </w:rPr>
              <w:t xml:space="preserve">对视频流数据、图像数据、物联数据、业务关注数据等数据资源开展规范化的数据治理活动，对相关数据的接入、处理、组织、服务提供全方位的质量管控与保障，确保各类技防监控采集数据的可利用率达到90%以上。</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t xml:space="preserve">国家标准：要求设备选型合规、数据加密与隐私保护达标，同时需符合网络安全法及技术规范。</w:t>
            </w:r>
            <w:r/>
          </w:p>
          <w:p>
            <w:pPr>
              <w:pStyle w:val="929"/>
              <w:spacing w:before="120" w:beforeAutospacing="0" w:after="120" w:afterAutospacing="0"/>
              <w:rPr>
                <w:rFonts w:hint="eastAsia" w:ascii="宋体" w:hAnsi="宋体"/>
                <w:highlight w:val="none"/>
              </w:rPr>
            </w:pPr>
            <w:r>
              <w:rPr>
                <w:rFonts w:hint="eastAsia" w:ascii="宋体" w:hAnsi="宋体" w:cs="宋体"/>
                <w:color w:val="000000"/>
                <w:highlight w:val="none"/>
              </w:rPr>
              <w:t xml:space="preserve">13.</w:t>
            </w:r>
            <w:r>
              <w:rPr>
                <w:rFonts w:ascii="宋体" w:hAnsi="宋体" w:cs="宋体"/>
                <w:color w:val="000000"/>
                <w:highlight w:val="none"/>
              </w:rPr>
              <w:t xml:space="preserve">质保维护标准：五年免费质保+终身有偿维护，提供分级响应服务，涵盖设备、网络、数据全链条。</w:t>
            </w:r>
            <w:r/>
          </w:p>
        </w:tc>
      </w:tr>
      <w:tr>
        <w:trPr>
          <w:trHeight w:val="736"/>
        </w:trPr>
        <w:tc>
          <w:tcPr>
            <w:tcW w:w="17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第二节</w:t>
            </w:r>
            <w:r/>
          </w:p>
          <w:p>
            <w:pPr>
              <w:jc w:val="center"/>
              <w:spacing w:line="400" w:lineRule="exact"/>
              <w:widowControl/>
              <w:rPr>
                <w:rFonts w:hint="eastAsia" w:ascii="华文楷体" w:hAnsi="华文楷体" w:eastAsia="华文楷体" w:cs="华文楷体"/>
                <w:sz w:val="24"/>
                <w:highlight w:val="none"/>
              </w:rPr>
            </w:pPr>
            <w:r>
              <w:rPr>
                <w:rFonts w:hint="eastAsia" w:ascii="宋体" w:hAnsi="宋体" w:cs="宋体"/>
                <w:sz w:val="24"/>
                <w:highlight w:val="none"/>
              </w:rPr>
              <w:t xml:space="preserve">第11.1款</w:t>
            </w:r>
            <w:r/>
          </w:p>
        </w:tc>
        <w:tc>
          <w:tcPr>
            <w:tcW w:w="1763"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其他应当保密的信息</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p>
        </w:tc>
      </w:tr>
      <w:tr>
        <w:trPr>
          <w:trHeight w:val="697"/>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第12.2款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合同价款支付时间及要求</w:t>
            </w:r>
            <w:r/>
          </w:p>
        </w:tc>
        <w:tc>
          <w:tcPr>
            <w:tcW w:w="6487" w:type="dxa"/>
            <w:vAlign w:val="center"/>
            <w:textDirection w:val="lrTb"/>
            <w:noWrap w:val="false"/>
          </w:tcPr>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合同签定后，甲方在收到乙方开具合同价款30%的预付款银行保函后支付预付款；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w:t>
            </w:r>
            <w:r/>
          </w:p>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注：1）将合同价款30%的预付款汇入农民工工资专用账户。</w:t>
            </w:r>
            <w:r/>
          </w:p>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2）项目竣工验收完成后,项目建设单位须将所有项目材料装订成册，移交县局档案室统一管理。</w:t>
            </w:r>
            <w:r/>
          </w:p>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p>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4）通过竣工验收的项目，未向县局档案室移交档案的，或者未向警保部门登记国有资产入库的，不得支付项目尾款。</w:t>
            </w:r>
            <w:r/>
          </w:p>
          <w:p>
            <w:pPr>
              <w:pStyle w:val="937"/>
              <w:ind w:firstLine="480"/>
              <w:spacing w:before="120" w:after="120" w:line="460" w:lineRule="exact"/>
              <w:rPr>
                <w:rFonts w:hint="eastAsia" w:hAnsi="宋体" w:cs="宋体"/>
                <w:sz w:val="24"/>
                <w:highlight w:val="none"/>
                <w:shd w:val="clear" w:color="auto" w:fill="ffffff"/>
              </w:rPr>
            </w:pPr>
            <w:r>
              <w:rPr>
                <w:rFonts w:hint="eastAsia" w:hAnsi="宋体" w:cs="宋体"/>
                <w:sz w:val="24"/>
                <w:highlight w:val="none"/>
                <w:shd w:val="clear" w:color="auto" w:fill="ffffff"/>
              </w:rPr>
              <w:t xml:space="preserve">5）项目建设单位应当在项目验收合格后一个月内向审计部门提交项目材料并申请审计，项目结算审计核减金额超过送审金额的10%，审计费用由承建单位承担。</w:t>
            </w:r>
            <w:r/>
          </w:p>
          <w:p>
            <w:pPr>
              <w:pStyle w:val="937"/>
              <w:ind w:firstLine="480"/>
              <w:spacing w:before="120" w:after="120" w:line="460" w:lineRule="exact"/>
              <w:rPr>
                <w:sz w:val="24"/>
                <w:highlight w:val="none"/>
              </w:rPr>
            </w:pPr>
            <w:r>
              <w:rPr>
                <w:rFonts w:hint="eastAsia" w:hAnsi="宋体" w:cs="宋体"/>
                <w:sz w:val="24"/>
                <w:highlight w:val="none"/>
                <w:shd w:val="clear" w:color="auto" w:fill="ffffff"/>
              </w:rPr>
              <w:t xml:space="preserve">6）</w:t>
            </w:r>
            <w:r>
              <w:rPr>
                <w:rFonts w:hAnsi="宋体" w:cs="宋体"/>
                <w:sz w:val="24"/>
                <w:highlight w:val="none"/>
                <w:shd w:val="clear" w:color="auto" w:fill="ffffff"/>
              </w:rPr>
              <w:t xml:space="preserve">对于满足合同约定支付条件的，采购人应当自收到发票后10个工作日内将资金支付到合同约定的供应商账户</w:t>
            </w:r>
            <w:r>
              <w:rPr>
                <w:rFonts w:hint="eastAsia" w:hAnsi="宋体" w:cs="宋体"/>
                <w:sz w:val="24"/>
                <w:highlight w:val="none"/>
                <w:shd w:val="clear" w:color="auto" w:fill="ffffff"/>
              </w:rPr>
              <w:t xml:space="preserve">。</w:t>
            </w:r>
            <w:r/>
          </w:p>
        </w:tc>
      </w:tr>
      <w:tr>
        <w:trPr>
          <w:trHeight w:val="697"/>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第13.2款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履约保证金不予退还的情形</w:t>
            </w:r>
            <w:r/>
          </w:p>
        </w:tc>
        <w:tc>
          <w:tcPr>
            <w:tcW w:w="6487" w:type="dxa"/>
            <w:vAlign w:val="center"/>
            <w:textDirection w:val="lrTb"/>
            <w:noWrap w:val="false"/>
          </w:tcPr>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除不可抗力情况外，投标人出现下列情形之一的，其履约保证金，采购人将视情节决定不予退还或部分不予退还。</w:t>
            </w:r>
            <w:r/>
          </w:p>
          <w:p>
            <w:pPr>
              <w:spacing w:line="360" w:lineRule="auto"/>
              <w:rPr>
                <w:rFonts w:hint="eastAsia" w:ascii="宋体" w:hAnsi="宋体" w:cs="宋体"/>
                <w:sz w:val="24"/>
                <w:highlight w:val="none"/>
              </w:rPr>
            </w:pPr>
            <w:r>
              <w:rPr>
                <w:rFonts w:hint="eastAsia" w:ascii="宋体" w:hAnsi="宋体" w:cs="宋体"/>
                <w:sz w:val="24"/>
                <w:highlight w:val="none"/>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（2）中标人不履行与采购人订立的合同的；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（3）中标人所供货物或服务不符合招标文件规定要求的；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（4）中标人采取欺骗、弄虚作假方式投标的或与其他投标人串通投标的；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（5）中标人将合同内容转包、违法分包的；</w:t>
            </w:r>
            <w:r/>
          </w:p>
          <w:p>
            <w:pPr>
              <w:spacing w:line="360" w:lineRule="auto"/>
              <w:rPr>
                <w:rFonts w:hint="eastAsia" w:ascii="宋体" w:hAnsi="宋体"/>
                <w:sz w:val="24"/>
                <w:highlight w:val="none"/>
              </w:rPr>
            </w:pPr>
            <w:r>
              <w:rPr>
                <w:rFonts w:hint="eastAsia" w:ascii="宋体" w:hAnsi="宋体" w:cs="宋体"/>
                <w:sz w:val="24"/>
                <w:highlight w:val="none"/>
              </w:rPr>
              <w:t xml:space="preserve">（6）中标人故意捏造事实或伪造证明材料，进行虚假恶意投诉或反映的。</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第13.3款</w:t>
            </w:r>
            <w:r/>
          </w:p>
        </w:tc>
        <w:tc>
          <w:tcPr>
            <w:tcW w:w="176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履约保证金退还时间及逾期退还的违约金</w:t>
            </w:r>
            <w:r/>
          </w:p>
        </w:tc>
        <w:tc>
          <w:tcPr>
            <w:tcW w:w="6487"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1、合同履行结束后，甲方应及时退还交纳的履约保证金。</w:t>
            </w:r>
            <w:r/>
          </w:p>
          <w:p>
            <w:pPr>
              <w:spacing w:line="360" w:lineRule="auto"/>
              <w:rPr>
                <w:rFonts w:hint="eastAsia" w:ascii="宋体" w:hAnsi="宋体" w:cs="宋体"/>
                <w:sz w:val="24"/>
                <w:highlight w:val="none"/>
              </w:rPr>
            </w:pPr>
            <w:r>
              <w:rPr>
                <w:rFonts w:hint="eastAsia" w:ascii="宋体" w:hAnsi="宋体" w:cs="宋体"/>
                <w:sz w:val="24"/>
                <w:highlight w:val="none"/>
              </w:rPr>
              <w:t xml:space="preserve">2、退还方式：退还至投标人缴纳履约保证金的账户。如为保函，在到期时自行失效。</w:t>
            </w:r>
            <w:r/>
          </w:p>
          <w:p>
            <w:pPr>
              <w:spacing w:line="360" w:lineRule="auto"/>
              <w:rPr>
                <w:rFonts w:hint="eastAsia" w:ascii="宋体" w:hAnsi="宋体" w:cs="宋体"/>
                <w:sz w:val="24"/>
                <w:highlight w:val="none"/>
              </w:rPr>
            </w:pPr>
            <w:r>
              <w:rPr>
                <w:rFonts w:hint="eastAsia" w:ascii="宋体" w:hAnsi="宋体" w:cs="宋体"/>
                <w:sz w:val="24"/>
                <w:highlight w:val="none"/>
              </w:rPr>
              <w:t xml:space="preserve">3、退还时间：验收合格且甲方收到发票后30日内。</w:t>
            </w:r>
            <w:r/>
          </w:p>
          <w:p>
            <w:pPr>
              <w:spacing w:line="360" w:lineRule="auto"/>
              <w:rPr>
                <w:rFonts w:hint="eastAsia" w:ascii="宋体" w:hAnsi="宋体" w:cs="宋体"/>
                <w:sz w:val="24"/>
                <w:highlight w:val="none"/>
              </w:rPr>
            </w:pPr>
            <w:r>
              <w:rPr>
                <w:rFonts w:hint="eastAsia" w:ascii="宋体" w:hAnsi="宋体" w:cs="宋体"/>
                <w:sz w:val="24"/>
                <w:highlight w:val="none"/>
              </w:rPr>
              <w:t xml:space="preserve">4、退还条件：按合同要求全部履约完成并经采购人验收合格，且采购人收到中标人出具的发票。</w:t>
            </w:r>
            <w:r/>
          </w:p>
          <w:p>
            <w:pPr>
              <w:spacing w:line="360" w:lineRule="auto"/>
              <w:rPr>
                <w:rFonts w:hint="eastAsia" w:ascii="宋体" w:hAnsi="宋体" w:cs="宋体"/>
                <w:sz w:val="24"/>
                <w:highlight w:val="none"/>
              </w:rPr>
            </w:pPr>
            <w:r>
              <w:rPr>
                <w:rFonts w:hint="eastAsia" w:ascii="宋体" w:hAnsi="宋体" w:cs="宋体"/>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第14.1（3）项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运行监督、维修期限</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货物免费质量保修期</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五</w:t>
            </w:r>
            <w:r>
              <w:rPr>
                <w:rFonts w:hint="eastAsia" w:ascii="宋体" w:hAnsi="宋体"/>
                <w:sz w:val="24"/>
                <w:highlight w:val="none"/>
                <w:u w:val="single"/>
              </w:rPr>
              <w:t xml:space="preserve">年</w:t>
            </w:r>
            <w:r>
              <w:rPr>
                <w:rFonts w:hint="eastAsia" w:ascii="宋体" w:hAnsi="宋体"/>
                <w:sz w:val="24"/>
                <w:highlight w:val="none"/>
                <w:u w:val="none"/>
                <w:lang w:eastAsia="zh-CN"/>
              </w:rPr>
              <w:t xml:space="preserve">自项目竣工验收合格之日起计算</w:t>
            </w:r>
            <w:r>
              <w:rPr>
                <w:rFonts w:hint="eastAsia" w:ascii="宋体" w:hAnsi="宋体"/>
                <w:sz w:val="24"/>
                <w:highlight w:val="none"/>
              </w:rPr>
              <w:t xml:space="preserve">。</w:t>
            </w:r>
            <w:r/>
          </w:p>
        </w:tc>
      </w:tr>
      <w:tr>
        <w:trPr>
          <w:trHeight w:val="784"/>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第14.1（5）项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货物回收的约定</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第14.1（6）项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乙方提供的其他服务</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第15.1款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修理、重做、更换相关具体规定</w:t>
            </w:r>
            <w:r/>
          </w:p>
        </w:tc>
        <w:tc>
          <w:tcPr>
            <w:tcW w:w="6487" w:type="dxa"/>
            <w:vAlign w:val="center"/>
            <w:textDirection w:val="lrTb"/>
            <w:noWrap w:val="false"/>
          </w:tcPr>
          <w:p>
            <w:pPr>
              <w:numPr>
                <w:ilvl w:val="0"/>
                <w:numId w:val="6"/>
              </w:numPr>
              <w:jc w:val="left"/>
              <w:rPr>
                <w:rFonts w:hint="eastAsia" w:ascii="宋体" w:hAnsi="宋体"/>
                <w:sz w:val="24"/>
                <w:highlight w:val="none"/>
              </w:rPr>
            </w:pPr>
            <w:r>
              <w:rPr>
                <w:rFonts w:hint="eastAsia" w:ascii="宋体" w:hAnsi="宋体"/>
                <w:sz w:val="24"/>
                <w:highlight w:val="none"/>
              </w:rPr>
              <w:t xml:space="preserve">详见合同通用条款8.2条款、合同专用条款第二节第8款补充条款及合同专用条款中索赔条款。</w:t>
            </w:r>
            <w:r/>
          </w:p>
          <w:p>
            <w:pPr>
              <w:numPr>
                <w:ilvl w:val="0"/>
                <w:numId w:val="6"/>
              </w:numPr>
              <w:jc w:val="left"/>
              <w:rPr>
                <w:rFonts w:hint="eastAsia" w:ascii="宋体" w:hAnsi="宋体"/>
                <w:sz w:val="24"/>
                <w:highlight w:val="none"/>
              </w:rPr>
            </w:pPr>
            <w:r>
              <w:rPr>
                <w:rFonts w:hint="eastAsia" w:ascii="宋体" w:hAnsi="宋体"/>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第15.2（2）项</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迟延交货赔偿费</w:t>
            </w:r>
            <w:r/>
          </w:p>
        </w:tc>
        <w:tc>
          <w:tcPr>
            <w:tcW w:w="6487" w:type="dxa"/>
            <w:vAlign w:val="center"/>
            <w:textDirection w:val="lrTb"/>
            <w:noWrap w:val="false"/>
          </w:tcPr>
          <w:p>
            <w:pPr>
              <w:jc w:val="left"/>
              <w:rPr>
                <w:rFonts w:hint="eastAsia" w:ascii="宋体" w:hAnsi="宋体"/>
                <w:sz w:val="24"/>
                <w:highlight w:val="none"/>
                <w:u w:val="single"/>
              </w:rPr>
            </w:pPr>
            <w:r>
              <w:rPr>
                <w:rFonts w:hint="eastAsia" w:ascii="宋体" w:hAnsi="宋体" w:cs="宋体"/>
                <w:sz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第15.3款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逾期付款利息</w:t>
            </w:r>
            <w:r/>
          </w:p>
        </w:tc>
        <w:tc>
          <w:tcPr>
            <w:tcW w:w="6487" w:type="dxa"/>
            <w:vAlign w:val="center"/>
            <w:textDirection w:val="lrTb"/>
            <w:noWrap w:val="false"/>
          </w:tcPr>
          <w:p>
            <w:pPr>
              <w:pStyle w:val="929"/>
              <w:ind w:left="410" w:hanging="410"/>
              <w:jc w:val="both"/>
              <w:spacing w:before="120" w:beforeAutospacing="0" w:after="120" w:afterAutospacing="0"/>
              <w:rPr>
                <w:rFonts w:hint="eastAsia" w:ascii="宋体" w:hAnsi="宋体"/>
                <w:highlight w:val="none"/>
                <w:u w:val="single"/>
              </w:rPr>
            </w:pPr>
            <w:r>
              <w:rPr>
                <w:rFonts w:hint="eastAsia" w:ascii="宋体" w:hAnsi="宋体" w:cs="宋体"/>
                <w:highlight w:val="none"/>
              </w:rPr>
              <w:t xml:space="preserve">/</w:t>
            </w:r>
            <w:r/>
          </w:p>
        </w:tc>
      </w:tr>
      <w:tr>
        <w:trPr>
          <w:trHeight w:val="876"/>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第15.4款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其他违约责任</w:t>
            </w:r>
            <w:r/>
          </w:p>
        </w:tc>
        <w:tc>
          <w:tcPr>
            <w:tcW w:w="6487" w:type="dxa"/>
            <w:vAlign w:val="center"/>
            <w:textDirection w:val="lrTb"/>
            <w:noWrap w:val="false"/>
          </w:tcPr>
          <w:p>
            <w:pPr>
              <w:jc w:val="left"/>
              <w:rPr>
                <w:rFonts w:hint="eastAsia" w:ascii="宋体" w:hAnsi="宋体"/>
                <w:sz w:val="24"/>
                <w:highlight w:val="none"/>
                <w:u w:val="single"/>
              </w:rPr>
            </w:pPr>
            <w:r>
              <w:rPr>
                <w:rFonts w:hint="eastAsia" w:ascii="宋体" w:hAnsi="宋体"/>
                <w:sz w:val="24"/>
                <w:highlight w:val="none"/>
                <w:u w:val="single"/>
              </w:rPr>
              <w:t xml:space="preserve">/</w:t>
            </w:r>
            <w:r/>
          </w:p>
        </w:tc>
      </w:tr>
      <w:tr>
        <w:trPr>
          <w:trHeight w:val="9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第19.2款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解决争议的方法</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1.因本合同及合同有关事项发生的争议，由双方协商解决，协商不成时，按下列第</w:t>
            </w:r>
            <w:r>
              <w:rPr>
                <w:rFonts w:hint="eastAsia" w:ascii="宋体" w:hAnsi="宋体"/>
                <w:sz w:val="24"/>
                <w:highlight w:val="none"/>
                <w:u w:val="single"/>
              </w:rPr>
              <w:t xml:space="preserve">2</w:t>
            </w:r>
            <w:r>
              <w:rPr>
                <w:rFonts w:hint="eastAsia" w:ascii="宋体" w:hAnsi="宋体"/>
                <w:sz w:val="24"/>
                <w:highlight w:val="none"/>
              </w:rPr>
              <w:t xml:space="preserve">种方式解决：</w:t>
            </w:r>
            <w:r/>
          </w:p>
          <w:p>
            <w:pPr>
              <w:jc w:val="left"/>
              <w:rPr>
                <w:rFonts w:hint="eastAsia" w:ascii="宋体" w:hAnsi="宋体"/>
                <w:sz w:val="24"/>
                <w:highlight w:val="none"/>
              </w:rPr>
            </w:pPr>
            <w:r>
              <w:rPr>
                <w:rFonts w:hint="eastAsia" w:ascii="宋体" w:hAnsi="宋体"/>
                <w:sz w:val="24"/>
                <w:highlight w:val="none"/>
              </w:rPr>
              <w:t xml:space="preserve">（1）向仲裁委员会申请仲裁，仲裁地点为</w:t>
            </w:r>
            <w:r>
              <w:rPr>
                <w:rFonts w:hint="eastAsia" w:ascii="宋体" w:hAnsi="宋体"/>
                <w:sz w:val="24"/>
                <w:highlight w:val="none"/>
                <w:u w:val="single"/>
              </w:rPr>
              <w:t xml:space="preserve">盐城市</w:t>
            </w:r>
            <w:r>
              <w:rPr>
                <w:rFonts w:hint="eastAsia" w:ascii="宋体" w:hAnsi="宋体"/>
                <w:sz w:val="24"/>
                <w:highlight w:val="none"/>
              </w:rPr>
              <w:t xml:space="preserve">；</w:t>
            </w:r>
            <w:r/>
          </w:p>
          <w:p>
            <w:pPr>
              <w:jc w:val="left"/>
              <w:rPr>
                <w:rFonts w:hint="eastAsia" w:ascii="宋体" w:hAnsi="宋体"/>
                <w:sz w:val="24"/>
                <w:highlight w:val="none"/>
              </w:rPr>
            </w:pPr>
            <w:r>
              <w:rPr>
                <w:rFonts w:hint="eastAsia" w:ascii="宋体" w:hAnsi="宋体"/>
                <w:sz w:val="24"/>
                <w:highlight w:val="none"/>
              </w:rPr>
              <w:t xml:space="preserve">（2）向</w:t>
            </w:r>
            <w:r>
              <w:rPr>
                <w:rFonts w:hint="eastAsia" w:ascii="宋体" w:hAnsi="宋体"/>
                <w:sz w:val="24"/>
                <w:highlight w:val="none"/>
                <w:u w:val="single"/>
              </w:rPr>
              <w:t xml:space="preserve">滨海县</w:t>
            </w:r>
            <w:r>
              <w:rPr>
                <w:rFonts w:hint="eastAsia" w:ascii="宋体" w:hAnsi="宋体"/>
                <w:sz w:val="24"/>
                <w:highlight w:val="none"/>
              </w:rPr>
              <w:t xml:space="preserve">人民法院起诉。</w:t>
            </w:r>
            <w:r/>
          </w:p>
          <w:p>
            <w:pPr>
              <w:jc w:val="left"/>
              <w:rPr>
                <w:rFonts w:hint="eastAsia" w:ascii="宋体" w:hAnsi="宋体"/>
                <w:sz w:val="24"/>
                <w:highlight w:val="none"/>
              </w:rPr>
            </w:pPr>
            <w:r>
              <w:rPr>
                <w:rFonts w:hint="eastAsia" w:ascii="宋体" w:hAnsi="宋体"/>
                <w:sz w:val="24"/>
                <w:highlight w:val="none"/>
              </w:rPr>
              <w:t xml:space="preserve">2. 纠纷解决办法</w:t>
            </w:r>
            <w:r/>
          </w:p>
          <w:p>
            <w:pPr>
              <w:jc w:val="left"/>
              <w:rPr>
                <w:rFonts w:hint="eastAsia" w:ascii="宋体" w:hAnsi="宋体"/>
                <w:sz w:val="24"/>
                <w:highlight w:val="none"/>
              </w:rPr>
            </w:pPr>
            <w:r>
              <w:rPr>
                <w:rFonts w:hint="eastAsia" w:ascii="宋体" w:hAnsi="宋体"/>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第二节</w:t>
            </w:r>
            <w:r/>
          </w:p>
          <w:p>
            <w:pPr>
              <w:jc w:val="center"/>
              <w:rPr>
                <w:rFonts w:hint="eastAsia" w:ascii="宋体" w:hAnsi="宋体"/>
                <w:sz w:val="24"/>
                <w:highlight w:val="none"/>
              </w:rPr>
            </w:pPr>
            <w:r>
              <w:rPr>
                <w:rFonts w:hint="eastAsia" w:ascii="宋体" w:hAnsi="宋体"/>
                <w:sz w:val="24"/>
                <w:highlight w:val="none"/>
              </w:rPr>
              <w:t xml:space="preserve">第23.1款</w:t>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bCs/>
                <w:sz w:val="24"/>
                <w:highlight w:val="none"/>
              </w:rPr>
              <w:t xml:space="preserve">其他专用条款</w:t>
            </w:r>
            <w:r/>
          </w:p>
        </w:tc>
        <w:tc>
          <w:tcPr>
            <w:tcW w:w="6487" w:type="dxa"/>
            <w:vAlign w:val="center"/>
            <w:textDirection w:val="lrTb"/>
            <w:noWrap w:val="false"/>
          </w:tcPr>
          <w:p>
            <w:pPr>
              <w:ind w:firstLine="480"/>
              <w:jc w:val="left"/>
              <w:rPr>
                <w:rFonts w:hint="eastAsia" w:ascii="宋体" w:hAnsi="宋体"/>
                <w:sz w:val="24"/>
                <w:highlight w:val="none"/>
              </w:rPr>
            </w:pPr>
            <w:r>
              <w:rPr>
                <w:rFonts w:hint="eastAsia" w:ascii="宋体" w:hAnsi="宋体"/>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jc w:val="left"/>
              <w:rPr>
                <w:rFonts w:hint="eastAsia" w:ascii="宋体" w:hAnsi="宋体"/>
                <w:sz w:val="24"/>
                <w:highlight w:val="none"/>
              </w:rPr>
            </w:pPr>
            <w:r>
              <w:rPr>
                <w:rFonts w:hint="eastAsia" w:ascii="宋体" w:hAnsi="宋体"/>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left"/>
              <w:rPr>
                <w:rFonts w:hint="eastAsia" w:ascii="宋体" w:hAnsi="宋体"/>
                <w:sz w:val="24"/>
                <w:highlight w:val="none"/>
              </w:rPr>
            </w:pPr>
            <w:r>
              <w:rPr>
                <w:rFonts w:hint="eastAsia" w:ascii="宋体" w:hAnsi="宋体"/>
                <w:sz w:val="24"/>
                <w:highlight w:val="none"/>
              </w:rPr>
              <w:t xml:space="preserve">3.验收不合格的货物，乙方应在</w:t>
            </w:r>
            <w:r>
              <w:rPr>
                <w:rFonts w:hint="eastAsia" w:ascii="宋体" w:hAnsi="宋体"/>
                <w:sz w:val="24"/>
                <w:highlight w:val="none"/>
                <w:u w:val="single"/>
              </w:rPr>
              <w:t xml:space="preserve"> 7</w:t>
            </w:r>
            <w:r>
              <w:rPr>
                <w:rFonts w:hint="eastAsia" w:ascii="宋体" w:hAnsi="宋体"/>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highlight w:val="none"/>
                <w:u w:val="single"/>
              </w:rPr>
              <w:t xml:space="preserve"> 5 </w:t>
            </w:r>
            <w:r>
              <w:rPr>
                <w:rFonts w:hint="eastAsia" w:ascii="宋体" w:hAnsi="宋体"/>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0"/>
              <w:jc w:val="left"/>
              <w:rPr>
                <w:rFonts w:hint="eastAsia" w:ascii="宋体" w:hAnsi="宋体"/>
                <w:sz w:val="24"/>
                <w:highlight w:val="none"/>
              </w:rPr>
            </w:pPr>
            <w:r>
              <w:rPr>
                <w:rFonts w:hint="eastAsia" w:ascii="宋体" w:hAnsi="宋体"/>
                <w:sz w:val="24"/>
                <w:highlight w:val="none"/>
              </w:rPr>
              <w:t xml:space="preserve">4.货物验收要求</w:t>
            </w:r>
            <w:r/>
          </w:p>
          <w:p>
            <w:pPr>
              <w:ind w:firstLine="240"/>
              <w:jc w:val="left"/>
              <w:rPr>
                <w:rFonts w:hint="eastAsia" w:ascii="宋体" w:hAnsi="宋体"/>
                <w:sz w:val="24"/>
                <w:highlight w:val="none"/>
              </w:rPr>
            </w:pPr>
            <w:r>
              <w:rPr>
                <w:rFonts w:hint="eastAsia" w:ascii="宋体" w:hAnsi="宋体"/>
                <w:sz w:val="24"/>
                <w:highlight w:val="none"/>
              </w:rPr>
              <w:t xml:space="preserve">（1）依照招标文件要求对全部货物、型号、规格、数量、外型、外观、包装及资料、文件（如装箱单、保修单、随箱介质等）进行验收。</w:t>
            </w:r>
            <w:r/>
          </w:p>
          <w:p>
            <w:pPr>
              <w:ind w:firstLine="240"/>
              <w:jc w:val="left"/>
              <w:rPr>
                <w:rFonts w:hint="eastAsia" w:ascii="宋体" w:hAnsi="宋体"/>
                <w:sz w:val="24"/>
                <w:highlight w:val="none"/>
              </w:rPr>
            </w:pPr>
            <w:r>
              <w:rPr>
                <w:rFonts w:hint="eastAsia" w:ascii="宋体" w:hAnsi="宋体"/>
                <w:sz w:val="24"/>
                <w:highlight w:val="none"/>
              </w:rPr>
              <w:t xml:space="preserve">（2）甲方与乙方对货物到货后共同进行开箱检查，出现损坏、数量不全或产品不对等问题时，由乙方负责解决。</w:t>
            </w:r>
            <w:r/>
          </w:p>
          <w:p>
            <w:pPr>
              <w:ind w:firstLine="240"/>
              <w:jc w:val="left"/>
              <w:rPr>
                <w:rFonts w:hint="eastAsia" w:ascii="宋体" w:hAnsi="宋体"/>
                <w:sz w:val="24"/>
                <w:highlight w:val="none"/>
              </w:rPr>
            </w:pPr>
            <w:r>
              <w:rPr>
                <w:rFonts w:hint="eastAsia" w:ascii="宋体" w:hAnsi="宋体"/>
                <w:sz w:val="24"/>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240"/>
              <w:jc w:val="left"/>
              <w:rPr>
                <w:rFonts w:hint="eastAsia" w:ascii="宋体" w:hAnsi="宋体"/>
                <w:sz w:val="24"/>
                <w:highlight w:val="none"/>
              </w:rPr>
            </w:pPr>
            <w:r>
              <w:rPr>
                <w:rFonts w:hint="eastAsia" w:ascii="宋体" w:hAnsi="宋体"/>
                <w:sz w:val="24"/>
                <w:highlight w:val="none"/>
              </w:rPr>
              <w:t xml:space="preserve">（4）乙方应按照本合同规定的时间、地点和方式向乙方交付货物。</w:t>
            </w:r>
            <w:r/>
          </w:p>
          <w:p>
            <w:pPr>
              <w:jc w:val="left"/>
              <w:rPr>
                <w:rFonts w:hint="eastAsia" w:ascii="宋体" w:hAnsi="宋体"/>
                <w:sz w:val="24"/>
                <w:highlight w:val="none"/>
              </w:rPr>
            </w:pPr>
            <w:r>
              <w:rPr>
                <w:rFonts w:hint="eastAsia" w:ascii="宋体" w:hAnsi="宋体"/>
                <w:sz w:val="24"/>
                <w:highlight w:val="none"/>
              </w:rPr>
              <w:t xml:space="preserve">交货时间：</w:t>
            </w:r>
            <w:r>
              <w:rPr>
                <w:rFonts w:hint="eastAsia" w:ascii="宋体" w:hAnsi="宋体"/>
                <w:sz w:val="24"/>
                <w:highlight w:val="none"/>
                <w:u w:val="single"/>
              </w:rPr>
              <w:t xml:space="preserve">90日历天</w:t>
            </w:r>
            <w:r>
              <w:rPr>
                <w:rFonts w:hint="eastAsia" w:ascii="宋体" w:hAnsi="宋体"/>
                <w:sz w:val="24"/>
                <w:highlight w:val="none"/>
              </w:rPr>
              <w:t xml:space="preserve">前完成供货（安装）并交付使用。</w:t>
            </w:r>
            <w:r/>
          </w:p>
          <w:p>
            <w:pPr>
              <w:jc w:val="left"/>
              <w:rPr>
                <w:rFonts w:hint="eastAsia" w:ascii="宋体" w:hAnsi="宋体"/>
                <w:sz w:val="24"/>
                <w:highlight w:val="none"/>
              </w:rPr>
            </w:pPr>
            <w:r>
              <w:rPr>
                <w:rFonts w:hint="eastAsia" w:ascii="宋体" w:hAnsi="宋体"/>
                <w:sz w:val="24"/>
                <w:highlight w:val="none"/>
              </w:rPr>
              <w:t xml:space="preserve">交货地点：</w:t>
            </w:r>
            <w:r>
              <w:rPr>
                <w:rFonts w:hint="eastAsia" w:ascii="宋体" w:hAnsi="宋体"/>
                <w:sz w:val="24"/>
                <w:highlight w:val="none"/>
                <w:u w:val="single"/>
              </w:rPr>
              <w:t xml:space="preserve">滨海县范围内，采购人指定地点 </w:t>
            </w:r>
            <w:r>
              <w:rPr>
                <w:rFonts w:hint="eastAsia" w:ascii="宋体" w:hAnsi="宋体"/>
                <w:sz w:val="24"/>
                <w:highlight w:val="none"/>
              </w:rPr>
              <w:t xml:space="preserve">。</w:t>
            </w:r>
            <w:r/>
          </w:p>
          <w:p>
            <w:pPr>
              <w:ind w:firstLine="240"/>
              <w:jc w:val="left"/>
              <w:rPr>
                <w:rFonts w:hint="eastAsia" w:ascii="宋体" w:hAnsi="宋体"/>
                <w:sz w:val="24"/>
                <w:highlight w:val="none"/>
              </w:rPr>
            </w:pPr>
            <w:r>
              <w:rPr>
                <w:rFonts w:hint="eastAsia" w:ascii="宋体" w:hAnsi="宋体"/>
                <w:sz w:val="24"/>
                <w:highlight w:val="none"/>
              </w:rPr>
              <w:t xml:space="preserve">（5）甲方应在全部货物到货安装完毕后的</w:t>
            </w:r>
            <w:r>
              <w:rPr>
                <w:rFonts w:hint="eastAsia" w:ascii="宋体" w:hAnsi="宋体"/>
                <w:sz w:val="24"/>
                <w:highlight w:val="none"/>
                <w:u w:val="single"/>
              </w:rPr>
              <w:t xml:space="preserve"> 10 </w:t>
            </w:r>
            <w:r>
              <w:rPr>
                <w:rFonts w:hint="eastAsia" w:ascii="宋体" w:hAnsi="宋体"/>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highlight w:val="none"/>
                <w:u w:val="single"/>
              </w:rPr>
              <w:t xml:space="preserve"> 一</w:t>
            </w:r>
            <w:r>
              <w:rPr>
                <w:rFonts w:hint="eastAsia" w:ascii="宋体" w:hAnsi="宋体"/>
                <w:sz w:val="24"/>
                <w:highlight w:val="none"/>
              </w:rPr>
              <w:t xml:space="preserve">个月后，甲方组织对货物的质量及使用状况等进行最终验收。</w:t>
            </w:r>
            <w:r/>
          </w:p>
          <w:p>
            <w:pPr>
              <w:ind w:firstLine="240"/>
              <w:jc w:val="left"/>
              <w:rPr>
                <w:rFonts w:hint="eastAsia" w:ascii="宋体" w:hAnsi="宋体"/>
                <w:sz w:val="24"/>
                <w:highlight w:val="none"/>
              </w:rPr>
            </w:pPr>
            <w:r>
              <w:rPr>
                <w:rFonts w:hint="eastAsia" w:ascii="宋体" w:hAnsi="宋体"/>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763" w:type="dxa"/>
            <w:vAlign w:val="center"/>
            <w:textDirection w:val="lrTb"/>
            <w:noWrap w:val="false"/>
          </w:tcPr>
          <w:p>
            <w:pPr>
              <w:jc w:val="left"/>
              <w:rPr>
                <w:rFonts w:hint="eastAsia" w:ascii="宋体" w:hAnsi="宋体"/>
                <w:bCs/>
                <w:sz w:val="24"/>
                <w:highlight w:val="none"/>
              </w:rPr>
            </w:pPr>
            <w:r>
              <w:rPr>
                <w:rFonts w:hint="eastAsia" w:ascii="宋体" w:hAnsi="宋体"/>
                <w:bCs/>
                <w:sz w:val="24"/>
                <w:highlight w:val="none"/>
              </w:rPr>
              <w:t xml:space="preserve">税费</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highlight w:val="none"/>
              </w:rPr>
            </w:pPr>
            <w:r>
              <w:rPr>
                <w:rFonts w:hint="eastAsia" w:ascii="宋体" w:hAnsi="宋体"/>
                <w:sz w:val="24"/>
                <w:highlight w:val="none"/>
              </w:rPr>
              <w:t xml:space="preserve">2.中国政府根据现行税法规定对乙方征收的与本合同有关的一切税费均由乙方负担（免税部分除外）。</w:t>
            </w:r>
            <w:r/>
          </w:p>
        </w:tc>
      </w:tr>
      <w:tr>
        <w:trPr>
          <w:trHeight w:val="77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763" w:type="dxa"/>
            <w:vAlign w:val="center"/>
            <w:textDirection w:val="lrTb"/>
            <w:noWrap w:val="false"/>
          </w:tcPr>
          <w:p>
            <w:pPr>
              <w:jc w:val="left"/>
              <w:rPr>
                <w:rFonts w:hint="eastAsia" w:ascii="宋体" w:hAnsi="宋体"/>
                <w:bCs/>
                <w:sz w:val="24"/>
                <w:highlight w:val="none"/>
              </w:rPr>
            </w:pPr>
            <w:r>
              <w:rPr>
                <w:rFonts w:hint="eastAsia" w:ascii="宋体" w:hAnsi="宋体"/>
                <w:bCs/>
                <w:sz w:val="24"/>
                <w:highlight w:val="none"/>
              </w:rPr>
              <w:t xml:space="preserve">伴随服务</w:t>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1.乙方应按照国家</w:t>
            </w:r>
            <w:r>
              <w:rPr>
                <w:rFonts w:hint="eastAsia" w:ascii="宋体" w:hAnsi="宋体"/>
                <w:b/>
                <w:sz w:val="24"/>
                <w:highlight w:val="none"/>
              </w:rPr>
              <w:t xml:space="preserve">“新三包”</w:t>
            </w:r>
            <w:r>
              <w:rPr>
                <w:rFonts w:hint="eastAsia" w:ascii="宋体" w:hAnsi="宋体"/>
                <w:sz w:val="24"/>
                <w:highlight w:val="none"/>
              </w:rPr>
              <w:t xml:space="preserve">规定和合同中所附的服务承诺提供服务。</w:t>
            </w:r>
            <w:r/>
          </w:p>
          <w:p>
            <w:pPr>
              <w:jc w:val="left"/>
              <w:rPr>
                <w:rFonts w:hint="eastAsia" w:ascii="宋体" w:hAnsi="宋体"/>
                <w:sz w:val="24"/>
                <w:highlight w:val="none"/>
              </w:rPr>
            </w:pPr>
            <w:r>
              <w:rPr>
                <w:rFonts w:hint="eastAsia" w:ascii="宋体" w:hAnsi="宋体"/>
                <w:sz w:val="24"/>
                <w:highlight w:val="none"/>
              </w:rPr>
              <w:t xml:space="preserve">2.除第1条规定外，乙方还应提供下列服务：</w:t>
            </w:r>
            <w:r/>
          </w:p>
          <w:p>
            <w:pPr>
              <w:jc w:val="left"/>
              <w:rPr>
                <w:rFonts w:hint="eastAsia" w:ascii="宋体" w:hAnsi="宋体"/>
                <w:b/>
                <w:sz w:val="24"/>
                <w:highlight w:val="none"/>
              </w:rPr>
            </w:pPr>
            <w:r>
              <w:rPr>
                <w:rFonts w:hint="eastAsia" w:ascii="宋体" w:hAnsi="宋体"/>
                <w:b/>
                <w:sz w:val="24"/>
                <w:highlight w:val="none"/>
              </w:rPr>
              <w:t xml:space="preserve"> (1) 招标文件中的“服务要求”所规定的服务内容以及投标文件承诺提供的其他服务内容；</w:t>
            </w:r>
            <w:r/>
          </w:p>
          <w:p>
            <w:pPr>
              <w:jc w:val="left"/>
              <w:rPr>
                <w:rFonts w:hint="eastAsia" w:ascii="宋体" w:hAnsi="宋体"/>
                <w:sz w:val="24"/>
                <w:highlight w:val="none"/>
              </w:rPr>
            </w:pPr>
            <w:r>
              <w:rPr>
                <w:rFonts w:hint="eastAsia" w:ascii="宋体" w:hAnsi="宋体"/>
                <w:sz w:val="24"/>
                <w:highlight w:val="none"/>
              </w:rPr>
              <w:t xml:space="preserve"> (2) 负责货物的开孔，货物的现场安装；</w:t>
            </w:r>
            <w:r/>
          </w:p>
          <w:p>
            <w:pPr>
              <w:jc w:val="left"/>
              <w:rPr>
                <w:rFonts w:hint="eastAsia" w:ascii="宋体" w:hAnsi="宋体"/>
                <w:sz w:val="24"/>
                <w:highlight w:val="none"/>
              </w:rPr>
            </w:pPr>
            <w:r>
              <w:rPr>
                <w:rFonts w:hint="eastAsia" w:ascii="宋体" w:hAnsi="宋体"/>
                <w:sz w:val="24"/>
                <w:highlight w:val="none"/>
              </w:rPr>
              <w:t xml:space="preserve"> (3) 提供货物组装和维修所需的工具；</w:t>
            </w:r>
            <w:r/>
          </w:p>
          <w:p>
            <w:pPr>
              <w:jc w:val="left"/>
              <w:rPr>
                <w:rFonts w:hint="eastAsia" w:ascii="宋体" w:hAnsi="宋体"/>
                <w:sz w:val="24"/>
                <w:highlight w:val="none"/>
              </w:rPr>
            </w:pPr>
            <w:r>
              <w:rPr>
                <w:rFonts w:hint="eastAsia" w:ascii="宋体" w:hAnsi="宋体"/>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highlight w:val="none"/>
              </w:rPr>
            </w:pPr>
            <w:r>
              <w:rPr>
                <w:rFonts w:hint="eastAsia" w:ascii="宋体" w:hAnsi="宋体"/>
                <w:sz w:val="24"/>
                <w:highlight w:val="none"/>
              </w:rPr>
              <w:t xml:space="preserve"> (5) 在货物交货现场就货物的安装、启用、维护等对甲方人员进行培训。</w:t>
            </w:r>
            <w:r/>
          </w:p>
          <w:p>
            <w:pPr>
              <w:jc w:val="left"/>
              <w:rPr>
                <w:rFonts w:hint="eastAsia" w:ascii="宋体" w:hAnsi="宋体"/>
                <w:sz w:val="24"/>
                <w:highlight w:val="none"/>
              </w:rPr>
            </w:pPr>
            <w:r>
              <w:rPr>
                <w:rFonts w:hint="eastAsia" w:ascii="宋体" w:hAnsi="宋体"/>
                <w:sz w:val="24"/>
                <w:highlight w:val="none"/>
              </w:rPr>
              <w:t xml:space="preserve">3.伴随服务的费用应含在合同价中，不单独进行支付。</w:t>
            </w:r>
            <w:r/>
          </w:p>
        </w:tc>
      </w:tr>
      <w:tr>
        <w:trPr>
          <w:trHeight w:val="770"/>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索赔</w:t>
            </w:r>
            <w:r/>
          </w:p>
          <w:p>
            <w:pPr>
              <w:jc w:val="left"/>
              <w:rPr>
                <w:rFonts w:hint="eastAsia" w:ascii="宋体" w:hAnsi="宋体"/>
                <w:sz w:val="24"/>
                <w:highlight w:val="none"/>
              </w:rPr>
            </w:pPr>
            <w:r>
              <w:rPr>
                <w:rFonts w:hint="eastAsia" w:ascii="宋体" w:hAnsi="宋体"/>
                <w:sz w:val="24"/>
                <w:highlight w:val="none"/>
              </w:rPr>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1.甲方有权根据当地质检部门出具的检验报告，向乙方提出索赔。</w:t>
            </w:r>
            <w:r/>
          </w:p>
          <w:p>
            <w:pPr>
              <w:jc w:val="left"/>
              <w:rPr>
                <w:rFonts w:hint="eastAsia" w:ascii="宋体" w:hAnsi="宋体"/>
                <w:sz w:val="24"/>
                <w:highlight w:val="none"/>
              </w:rPr>
            </w:pPr>
            <w:r>
              <w:rPr>
                <w:rFonts w:hint="eastAsia" w:ascii="宋体" w:hAnsi="宋体"/>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highlight w:val="none"/>
              </w:rPr>
            </w:pPr>
            <w:r>
              <w:rPr>
                <w:rFonts w:hint="eastAsia" w:ascii="宋体" w:hAnsi="宋体"/>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highlight w:val="none"/>
              </w:rPr>
            </w:pPr>
            <w:r>
              <w:rPr>
                <w:rFonts w:hint="eastAsia" w:ascii="宋体" w:hAnsi="宋体"/>
                <w:sz w:val="24"/>
                <w:highlight w:val="none"/>
              </w:rPr>
              <w:t xml:space="preserve"> (2) 根据货物的低劣程度、损坏程度以及甲方所遭受损失的数额，乙方必须降低货物的价格。</w:t>
            </w:r>
            <w:r/>
          </w:p>
          <w:p>
            <w:pPr>
              <w:jc w:val="left"/>
              <w:rPr>
                <w:rFonts w:hint="eastAsia" w:ascii="宋体" w:hAnsi="宋体"/>
                <w:sz w:val="24"/>
                <w:highlight w:val="none"/>
              </w:rPr>
            </w:pPr>
            <w:r>
              <w:rPr>
                <w:rFonts w:hint="eastAsia" w:ascii="宋体" w:hAnsi="宋体"/>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highlight w:val="none"/>
              </w:rPr>
            </w:pPr>
            <w:r>
              <w:rPr>
                <w:rFonts w:hint="eastAsia" w:ascii="宋体" w:hAnsi="宋体"/>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432"/>
        </w:trPr>
        <w:tc>
          <w:tcPr>
            <w:tcW w:w="173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76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合同生效及其他</w:t>
            </w:r>
            <w:r/>
          </w:p>
          <w:p>
            <w:pPr>
              <w:jc w:val="left"/>
              <w:rPr>
                <w:rFonts w:hint="eastAsia" w:ascii="宋体" w:hAnsi="宋体"/>
                <w:bCs/>
                <w:sz w:val="24"/>
                <w:highlight w:val="none"/>
              </w:rPr>
            </w:pPr>
            <w:r>
              <w:rPr>
                <w:rFonts w:hint="eastAsia" w:ascii="宋体" w:hAnsi="宋体"/>
                <w:bCs/>
                <w:sz w:val="24"/>
                <w:highlight w:val="none"/>
              </w:rPr>
            </w:r>
            <w:r/>
          </w:p>
        </w:tc>
        <w:tc>
          <w:tcPr>
            <w:tcW w:w="6487"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1. 合同经甲方、乙方盖章后生效。</w:t>
            </w:r>
            <w:r/>
          </w:p>
          <w:p>
            <w:pPr>
              <w:jc w:val="left"/>
              <w:rPr>
                <w:rFonts w:hint="eastAsia" w:ascii="宋体" w:hAnsi="宋体"/>
                <w:sz w:val="24"/>
                <w:highlight w:val="none"/>
              </w:rPr>
            </w:pPr>
            <w:r>
              <w:rPr>
                <w:rFonts w:hint="eastAsia" w:ascii="宋体" w:hAnsi="宋体"/>
                <w:sz w:val="24"/>
                <w:highlight w:val="none"/>
              </w:rPr>
              <w:t xml:space="preserve">2. 货物交付使用后所发生的合同纠纷，由甲方与乙方协商处理。</w:t>
            </w:r>
            <w:r/>
          </w:p>
          <w:p>
            <w:pPr>
              <w:jc w:val="left"/>
              <w:rPr>
                <w:rFonts w:hint="eastAsia" w:ascii="宋体" w:hAnsi="宋体"/>
                <w:sz w:val="24"/>
                <w:highlight w:val="none"/>
              </w:rPr>
            </w:pPr>
            <w:r>
              <w:rPr>
                <w:rFonts w:hint="eastAsia" w:ascii="宋体" w:hAnsi="宋体"/>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highlight w:val="none"/>
              </w:rPr>
            </w:pPr>
            <w:r>
              <w:rPr>
                <w:rFonts w:hint="eastAsia" w:ascii="宋体" w:hAnsi="宋体"/>
                <w:sz w:val="24"/>
                <w:highlight w:val="none"/>
              </w:rPr>
              <w:t xml:space="preserve">4.本合同未尽事宜，遵照《《中华人民共和国民法典》、《《中华人民共和国政府采购法》等有关条文执行。</w:t>
            </w:r>
            <w:r/>
          </w:p>
        </w:tc>
      </w:tr>
    </w:tbl>
    <w:p>
      <w:pPr>
        <w:pStyle w:val="929"/>
        <w:jc w:val="both"/>
        <w:spacing w:before="120" w:beforeAutospacing="0" w:after="120" w:afterAutospacing="0"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929"/>
        <w:jc w:val="both"/>
        <w:spacing w:before="120" w:beforeAutospacing="0" w:after="120" w:afterAutospacing="0" w:line="360" w:lineRule="auto"/>
        <w:rPr>
          <w:rFonts w:hint="eastAsia" w:ascii="宋体" w:hAnsi="宋体" w:cs="宋体"/>
          <w:b/>
          <w:bCs/>
          <w:color w:val="000000"/>
          <w:highlight w:val="none"/>
        </w:rPr>
      </w:pPr>
      <w:r>
        <w:rPr>
          <w:rFonts w:hint="eastAsia" w:ascii="宋体" w:hAnsi="宋体" w:cs="宋体"/>
          <w:b/>
          <w:bCs/>
          <w:color w:val="000000"/>
          <w:highlight w:val="none"/>
        </w:rPr>
        <w:t xml:space="preserve">附件1</w:t>
      </w:r>
      <w:r/>
    </w:p>
    <w:p>
      <w:pPr>
        <w:pStyle w:val="924"/>
        <w:ind w:firstLine="420"/>
        <w:jc w:val="center"/>
        <w:spacing w:line="360" w:lineRule="auto"/>
        <w:rPr>
          <w:rFonts w:hint="eastAsia" w:hAnsi="宋体" w:cs="宋体"/>
          <w:b/>
          <w:bCs/>
          <w:sz w:val="32"/>
          <w:szCs w:val="32"/>
          <w:highlight w:val="none"/>
        </w:rPr>
      </w:pPr>
      <w:r>
        <w:rPr>
          <w:rFonts w:hint="eastAsia" w:hAnsi="宋体" w:cs="宋体"/>
          <w:b/>
          <w:bCs/>
          <w:sz w:val="32"/>
          <w:szCs w:val="32"/>
          <w:highlight w:val="none"/>
        </w:rPr>
        <w:t xml:space="preserve">施工规范要求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一、立杆基础施工规范</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（一）基础施工任务</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基础施工的具体工作包括以下几项：</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1、浇筑摄像机杆件地笼混凝土基础的同时处理接地体并测试。</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2、接线井的土建施工，混凝土基础与接线井之间的穿线管道施工。</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3、摄像机杆、安装附件（摄像机底座包箍、灯具紧固件）的机械加工和制造。</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4、摄像机杆的吊装。</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5、开挖地面走线或空中架线（如果需要）的钢缆敷设。</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（二）基础施工要求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1、摄像机杆件混凝土基础要求：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①、混凝土基础尺寸要求，必须和甲方要求完全一致，不得上宽下窄；在沟边等处开挖基础时，朝沟边一侧必须用砖砌成护坡，确保基础质量，在县城等绿化地段开挖时，基础开挖深度加深30CM，混凝土浇筑后上面能够回填土层30CM，确保不破坏绿化，保持整体美观；基础须和主路面保持平行，不得歪斜；</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②、混凝土标号要求：采用C25及以上商业混凝土，不得现场搅拌，施工点位处车辆无法进入等特殊情况除外，但需报甲方同意方可采用现场搅拌；</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③、混凝土浇筑要求:浇筑后必须用振动棒进行振动,确保混凝土浇筑均匀,浇筑时在基础外围需进行立模,确保基础美观大方,浇筑完成后应对混凝土进行养护,以防基础表面开裂;杆件吊装完成后，应对螺栓等涂抹黄油等，以防生锈腐蚀，最后用混凝土进行包封；</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④、地笼要求:在进行基础混凝土浇筑时，地笼需摆放在基础的正中位置，同时确保地笼不歪不斜，浇筑时不得损坏地笼螺杆上的包封，以免影响杆件安装；</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⑤、接地桩要求：规格为5*50*2500，必须打在地笼中间，最终置于杆件内，不得放置在基础之外；</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⑥、螺栓要求:大小、长度等必须和杆件、地笼等配套;</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⑦、过线井要求：大小规格必须符合甲方要求，保持和基础平行，不得歪斜，过线井和杆件基础间的管道至少在过线井下20CM，另外过线井盖上须有“公安监控”字样；</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⑧、考虑到今后道路扩宽等原因，杆件位置至少离路牙一米以上，以防今后道路扩宽时对杆件移位。</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2、摄像机杆要求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①、杆件尺寸、规格、加强筋结构要求：杆件必须完全按甲方要求进行生产，立杆及横臂壁厚的误差范围必须符合国家行业标准；</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②、杆件内、外壁等整体都必须进行热镀锌防腐，杆件外表必须进行静电喷涂，涂层厚度不低于120um；</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③、杆件上必须留有进出线所用的预留孔，所有预留孔须进行钝化处理，确保平整光滑，以免在穿线时对线材造成损伤，安装球机的孔径与球形摄像机必须完全匹配；</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④、杆件必须能够抗风至少八级，在八级风以下的不能影响摄像机成像效果；</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⑤、杆件材质采用不低于上海宝钢Q235优质钢板，经折弯机一次成型，钢板焊接处必须平整光滑，不得有焊接残渣；</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⑥、杆件与底板之间必须水平，杆件在吊装时必须使用水平仪进行校准，必要时可以使用垫片进行微调，确保杆件与路面垂直；杆件的横臂也必须与路面垂直，不得倾斜。</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3、摄像机杆、接线井等构件之间必须留有穿线所用的铅丝；</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4、走线地沟的深度不低于60CM，宽度不小于20CM；</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5、空中架线（如果需要）的要求参见线路架设方案确定之。国省道上所有管线采取地埋方式，不得采取架空方式架线；</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6、接地符合国标要求：系统保护接地≤5欧姆。</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（三）基础施工验收（施工单位必须为每个点位绘制施工图）</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基础施工完成后必须对照设计图纸进行质量验收，主要检查以下几个方面：</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1、摄像机杆的尺寸、强度、位置是否满足要求；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2、预留穿线孔的位置、尺寸是否合适；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3、各紧固件、附件的机械尺寸是否准确；</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4、架线设施是否到位，接地是否符合要求；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如发现问题应及时返工，以免影响整个工程的质量。</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二、线路施工规范</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连接线路包括闪光灯电源线、摄像机电源线、网线、车辆检测信号线等，其施工时应严格按下列要求执行：线缆敷设应有利于缩短线路长短，便于施工和维修，减少与其它管线等障碍物的交叉。如交叉应避免干扰，按弱电工程布线标准施工。所有横臂上线缆安装完毕后，必须用螺纹管进行套装，网线、电源线不得裸露在外。</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1、采用地下埋线时应考虑：必须采用金属管或聚乙烯管作为保护管道，在通过交通要道时，应穿钢管保护。电缆的埋设深度不小于0.6m。管道电缆在引出地面时，均应采用钢管保护，钢管伸出地面不小于2.5m。</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2、采用架空布线（如果需要）时应考虑：由于电缆不能承受大的拉力，必须使用钢丝绳把电缆吊起来；最好架设专用线杆，若借用其它线杆时，线圈信号线、网线等弱电信号与电力线（1KV以下）的距离应大于1.5m，同广播线间距离应大于1m，通信线的间距应大于0.6m。</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室外线杆之间的距离按40m考虑，杆长一般为6m，杆件埋入深度为不小于1.4m；</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用电缆挂钩把电缆挂在钢丝绳上，挂钩间距为0.5m∽0.6m均匀。</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同电压等级，不同电流类别的线路，在走线时不能穿在同一管内或线槽的同一槽孔内。施工时弱电线路的接线和强电电缆接线分别设置，如受条件限制以上。必须合并时，弱电和强电电线应分别布置在井的两侧，两者间距应在30Cm以上的间距。</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在布线时必须注意各种导线的总截面积不超过管道内截面积的40％，采用线槽走线时导线总截面积不应大于线槽净截面积的5O％。</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各种电缆导线敷设后，应对每个回路的导线用500V的兆欧表测量绝缘电阻，其对地绝缘电阻值不应小于2ON。</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各种电缆导线在敷设前必须用万能表测量电缆内部已经发生断路，则不能使用。</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在线路施工时严格防止电缆受到过大的张力，以免造成内部导线损伤和断裂。</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穿线使用的各种管道，必须在穿线前检查管内是否存在铁屑及毛刺。</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切断口应挫平，管口应光滑无毛刺，以防损伤导线。导线在穿线管内不得有接头或组结。</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导线的接头应在接线盒内焊接或用端子连接，严禁手拧接线。</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任何电线的最小弯曲半径不得小于电缆外径的15倍。</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在布线时尽量避免信号线和强电流，高压导线近距离敷设容易在两条带电导线之间产生较大的分布电容，该分布电容容易引起对系统的干扰，而产生严重的误拍或系统不稳定。</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系统采用单相交流22OV／50Hz电源供电，单套供电容量必须大于50OW。（也可取三相四线（TN－C系统）系统供电，取电仍为220V／50Hz，即取任何一相线和零线。但要注意三相电的不平衡。）</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供电质量必须可靠，对太不稳定的供电需在设备供电瑞安装交流稳压电源，交流电源的标称功率容量不得小于系统所需功率得1.5倍。输入供电电源内不允许混入脉冲干扰刺、高刺谐波（如可控硅电源，变频调速器，逆变器，电弧脉冲等），否则要采用隔离变压器专门供电。</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三、闪光、补光灯具安装规范</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接灯具电源线通电检验，观察补光灯的启动是否完好，噪声是否正常。如果噪音过大，可能是整流器松动或信号不好，可以将整流器紧固螺栓拧紧或重换整流器。</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电源进线喇叭口处必须用普通电工胶带和防水胶带缠紧，防止雨水渗入电缆线进入灯具内部，造成灯具进水。灯具玻璃前盖上的橡胶密封圈在盖紧时必须将密封圈压紧，防止灰尘及雨水进入。</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补光灯要根据相机抓拍距离相应地调整照明区域，保证成效果。闪光灯必须与抓拍同步，确保能够清晰地获得车内人中图像，另外为了防止反光影响成像效果，反光灯应适当偏斜。</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四、摄像机安装规范</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室内调试：摄像机的状态设置好以后，应在室内进行检测和初步调试相机的焦距，一切正常后，方可拿到室外安装，试调摄像机焦距的方法是：使镜头的调焦按钮位于转动范围中间位置，转动相机上的镜头接圈，使屏幕上的画面最清晰。</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装入防护罩：防护罩给摄像机提供一个防水、防尘、防止高、低温的使用环境。安装摄像机前，必须检查防护罩的工作状况：温控开关是否正常工作，风扇是否正常工作，雨刷是否正常工作。在防护罩内部首先接好电源线、网线等放入摄像机，紧固摄像机底座上的上下调节螺栓和左右调节螺栓，接好摄像机连线接着对摄像机进行精密调试，使拍摄的汽车牌照大小与清晰度最佳。调整好后必须将镜头上的紧固螺栓拧紧，但不能过分用劲。最后盖好防护罩、上紧螺栓。防护罩后部引出线必须用胶带包扎好，多余导线放入金属管内，保持外部简洁。</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供电：摄像机采用220V交流电源，且公用一根4芯电缆从控制柜传输到防护罩内的接线排上。在控制柜内的面板上有摄像机电源开关，用来控制摄像机打开与关闭。摄像机开关一般处于“开”状态。</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五、挂箱安装规范</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机柜摆放：机箱须防水、防尘、防止高、低温。机柜必须安装水平，多台机柜时必须并排在同一平面同一基准线上。</w:t>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t xml:space="preserve">机柜内部接线：进出机柜的电源线包括总电源进线，UPS电源线，摄像机电源线，补光灯电源线等，应顺着机柜内左侧线槽走线，并与接线排上的对应接线柱相连。进出机柜的弱电线路（包括线圈信号线，网线等），应顺着机柜内右边线槽走线。线圈信号线、电话线连接到弱电接线排上的对应线柱；网线配RJ45接头直接插在网口上。各种导线必须用扎带捆扎整齐，每根电线或导线都应逐根标示明显的永久性标志，以区分电缆去向，和便于维护人员识别。接线后多余的导线尽量放置到控制相的底部。</w:t>
      </w:r>
      <w:r/>
    </w:p>
    <w:p>
      <w:pPr>
        <w:spacing w:before="100" w:line="360" w:lineRule="auto"/>
        <w:rPr>
          <w:rFonts w:ascii="楷体_GB2312" w:eastAsia="楷体_GB2312"/>
          <w:b/>
          <w:sz w:val="30"/>
          <w:szCs w:val="30"/>
          <w:highlight w:val="none"/>
        </w:rPr>
      </w:pPr>
      <w:r>
        <w:rPr>
          <w:rFonts w:hint="eastAsia" w:ascii="楷体_GB2312" w:eastAsia="楷体_GB2312"/>
          <w:b/>
          <w:sz w:val="30"/>
          <w:szCs w:val="30"/>
          <w:highlight w:val="none"/>
        </w:rPr>
        <w:t xml:space="preserve">附件2</w:t>
      </w:r>
      <w:r/>
    </w:p>
    <w:p>
      <w:pPr>
        <w:jc w:val="center"/>
        <w:spacing w:before="120" w:after="120"/>
        <w:rPr>
          <w:rFonts w:hint="eastAsia" w:ascii="宋体" w:hAnsi="宋体" w:cs="宋体"/>
          <w:b/>
          <w:sz w:val="32"/>
          <w:szCs w:val="32"/>
          <w:highlight w:val="none"/>
        </w:rPr>
      </w:pPr>
      <w:r>
        <w:rPr>
          <w:rFonts w:hint="eastAsia" w:ascii="宋体" w:hAnsi="宋体" w:cs="宋体"/>
          <w:b/>
          <w:sz w:val="32"/>
          <w:szCs w:val="32"/>
          <w:highlight w:val="none"/>
        </w:rPr>
        <w:t xml:space="preserve">工程量变更单</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416"/>
        <w:gridCol w:w="996"/>
        <w:gridCol w:w="844"/>
        <w:gridCol w:w="569"/>
        <w:gridCol w:w="102"/>
        <w:gridCol w:w="1171"/>
        <w:gridCol w:w="851"/>
        <w:gridCol w:w="285"/>
        <w:gridCol w:w="850"/>
        <w:gridCol w:w="705"/>
        <w:gridCol w:w="855"/>
      </w:tblGrid>
      <w:tr>
        <w:trPr>
          <w:jc w:val="center"/>
          <w:trHeight w:val="675"/>
        </w:trPr>
        <w:tc>
          <w:tcPr>
            <w:tcW w:w="565"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序号</w:t>
            </w:r>
            <w:r/>
          </w:p>
        </w:tc>
        <w:tc>
          <w:tcPr>
            <w:tcW w:w="1416"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内容/名称</w:t>
            </w:r>
            <w:r/>
          </w:p>
        </w:tc>
        <w:tc>
          <w:tcPr>
            <w:tcW w:w="996"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原型号</w:t>
            </w:r>
            <w:r/>
          </w:p>
        </w:tc>
        <w:tc>
          <w:tcPr>
            <w:tcW w:w="844"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原数量</w:t>
            </w:r>
            <w:r/>
          </w:p>
        </w:tc>
        <w:tc>
          <w:tcPr>
            <w:gridSpan w:val="2"/>
            <w:tcW w:w="671"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单位</w:t>
            </w:r>
            <w:r/>
          </w:p>
        </w:tc>
        <w:tc>
          <w:tcPr>
            <w:tcW w:w="1171"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变更原因</w:t>
            </w:r>
            <w:r/>
          </w:p>
        </w:tc>
        <w:tc>
          <w:tcPr>
            <w:tcW w:w="851"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变更后数量</w:t>
            </w:r>
            <w:r/>
          </w:p>
        </w:tc>
        <w:tc>
          <w:tcPr>
            <w:gridSpan w:val="2"/>
            <w:tcW w:w="1135"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型号</w:t>
            </w:r>
            <w:r/>
          </w:p>
        </w:tc>
        <w:tc>
          <w:tcPr>
            <w:tcW w:w="705"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单价</w:t>
            </w:r>
            <w:r/>
          </w:p>
        </w:tc>
        <w:tc>
          <w:tcPr>
            <w:tcW w:w="855" w:type="dxa"/>
            <w:vAlign w:val="center"/>
            <w:textDirection w:val="lrTb"/>
            <w:noWrap w:val="false"/>
          </w:tcPr>
          <w:p>
            <w:pPr>
              <w:jc w:val="center"/>
              <w:widowControl/>
              <w:rPr>
                <w:rFonts w:hint="eastAsia" w:ascii="楷体_GB2312" w:hAnsi="宋体" w:eastAsia="楷体_GB2312" w:cs="宋体"/>
                <w:bCs/>
                <w:sz w:val="20"/>
                <w:szCs w:val="18"/>
                <w:highlight w:val="none"/>
              </w:rPr>
            </w:pPr>
            <w:r>
              <w:rPr>
                <w:rFonts w:hint="eastAsia" w:ascii="楷体_GB2312" w:hAnsi="宋体" w:eastAsia="楷体_GB2312" w:cs="宋体"/>
                <w:bCs/>
                <w:sz w:val="20"/>
                <w:szCs w:val="18"/>
                <w:highlight w:val="none"/>
              </w:rPr>
              <w:t xml:space="preserve">小计</w:t>
            </w:r>
            <w:r/>
          </w:p>
        </w:tc>
      </w:tr>
      <w:tr>
        <w:trPr>
          <w:jc w:val="center"/>
          <w:trHeight w:val="762"/>
        </w:trPr>
        <w:tc>
          <w:tcPr>
            <w:tcW w:w="56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1</w:t>
            </w:r>
            <w:r/>
          </w:p>
        </w:tc>
        <w:tc>
          <w:tcPr>
            <w:tcW w:w="141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99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44"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67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1171"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113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70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762"/>
        </w:trPr>
        <w:tc>
          <w:tcPr>
            <w:tcW w:w="56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2</w:t>
            </w:r>
            <w:r/>
          </w:p>
        </w:tc>
        <w:tc>
          <w:tcPr>
            <w:tcW w:w="141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99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44"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67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1171"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113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70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762"/>
        </w:trPr>
        <w:tc>
          <w:tcPr>
            <w:tcW w:w="56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3</w:t>
            </w:r>
            <w:r/>
          </w:p>
        </w:tc>
        <w:tc>
          <w:tcPr>
            <w:tcW w:w="141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99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44"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67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1171"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1135"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70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762"/>
        </w:trPr>
        <w:tc>
          <w:tcPr>
            <w:tcW w:w="56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4</w:t>
            </w:r>
            <w:r/>
          </w:p>
        </w:tc>
        <w:tc>
          <w:tcPr>
            <w:tcW w:w="141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99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44"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67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1171"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1135"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70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762"/>
        </w:trPr>
        <w:tc>
          <w:tcPr>
            <w:tcW w:w="56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5</w:t>
            </w:r>
            <w:r/>
          </w:p>
        </w:tc>
        <w:tc>
          <w:tcPr>
            <w:tcW w:w="141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996"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44"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67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1171" w:type="dxa"/>
            <w:vAlign w:val="center"/>
            <w:textDirection w:val="lrTb"/>
            <w:noWrap w:val="false"/>
          </w:tcPr>
          <w:p>
            <w:pPr>
              <w:jc w:val="left"/>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gridSpan w:val="2"/>
            <w:tcW w:w="113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70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c>
          <w:tcPr>
            <w:tcW w:w="855"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678"/>
        </w:trPr>
        <w:tc>
          <w:tcPr>
            <w:gridSpan w:val="2"/>
            <w:tcW w:w="1981"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合计</w:t>
            </w:r>
            <w:r/>
          </w:p>
        </w:tc>
        <w:tc>
          <w:tcPr>
            <w:gridSpan w:val="10"/>
            <w:tcW w:w="7228" w:type="dxa"/>
            <w:vAlign w:val="center"/>
            <w:textDirection w:val="lrTb"/>
            <w:noWrap w:val="false"/>
          </w:tcPr>
          <w:p>
            <w:pPr>
              <w:jc w:val="center"/>
              <w:widowControl/>
              <w:rPr>
                <w:rFonts w:hint="eastAsia" w:ascii="楷体_GB2312" w:hAnsi="宋体" w:eastAsia="楷体_GB2312" w:cs="宋体"/>
                <w:sz w:val="18"/>
                <w:szCs w:val="18"/>
                <w:highlight w:val="none"/>
              </w:rPr>
            </w:pPr>
            <w:r>
              <w:rPr>
                <w:rFonts w:hint="eastAsia" w:ascii="楷体_GB2312" w:hAnsi="宋体" w:eastAsia="楷体_GB2312" w:cs="宋体"/>
                <w:sz w:val="18"/>
                <w:szCs w:val="18"/>
                <w:highlight w:val="none"/>
              </w:rPr>
              <w:t xml:space="preserve">　</w:t>
            </w:r>
            <w:r/>
          </w:p>
        </w:tc>
      </w:tr>
      <w:tr>
        <w:trPr>
          <w:jc w:val="center"/>
          <w:trHeight w:val="2058"/>
        </w:trPr>
        <w:tc>
          <w:tcPr>
            <w:gridSpan w:val="2"/>
            <w:tcW w:w="1981" w:type="dxa"/>
            <w:vAlign w:val="center"/>
            <w:textDirection w:val="lrTb"/>
            <w:noWrap w:val="false"/>
          </w:tcPr>
          <w:p>
            <w:pPr>
              <w:jc w:val="center"/>
              <w:widowControl/>
              <w:rPr>
                <w:rFonts w:hint="eastAsia" w:ascii="楷体_GB2312" w:hAnsi="宋体" w:eastAsia="楷体_GB2312" w:cs="宋体"/>
                <w:sz w:val="20"/>
                <w:highlight w:val="none"/>
              </w:rPr>
            </w:pPr>
            <w:r>
              <w:rPr>
                <w:rFonts w:hint="eastAsia" w:ascii="楷体_GB2312" w:hAnsi="宋体" w:eastAsia="楷体_GB2312" w:cs="宋体"/>
                <w:sz w:val="20"/>
                <w:highlight w:val="none"/>
              </w:rPr>
              <w:t xml:space="preserve">施工单位(代表)：</w:t>
            </w:r>
            <w:r/>
          </w:p>
        </w:tc>
        <w:tc>
          <w:tcPr>
            <w:gridSpan w:val="3"/>
            <w:tcW w:w="2409" w:type="dxa"/>
            <w:vAlign w:val="center"/>
            <w:textDirection w:val="lrTb"/>
            <w:noWrap w:val="false"/>
          </w:tcPr>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     </w:t>
            </w:r>
            <w:r/>
          </w:p>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 (签字/盖章)                                                                         </w:t>
            </w:r>
            <w:r/>
          </w:p>
        </w:tc>
        <w:tc>
          <w:tcPr>
            <w:gridSpan w:val="4"/>
            <w:tcW w:w="2409" w:type="dxa"/>
            <w:vAlign w:val="center"/>
            <w:textDirection w:val="lrTb"/>
            <w:noWrap w:val="false"/>
          </w:tcPr>
          <w:p>
            <w:pPr>
              <w:jc w:val="center"/>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监理单位</w:t>
            </w:r>
            <w:r/>
          </w:p>
        </w:tc>
        <w:tc>
          <w:tcPr>
            <w:gridSpan w:val="3"/>
            <w:tcW w:w="2410" w:type="dxa"/>
            <w:vAlign w:val="center"/>
            <w:textDirection w:val="lrTb"/>
            <w:noWrap w:val="false"/>
          </w:tcPr>
          <w:p>
            <w:pPr>
              <w:jc w:val="center"/>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 </w:t>
            </w:r>
            <w:r/>
          </w:p>
          <w:p>
            <w:pPr>
              <w:jc w:val="center"/>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p>
            <w:pPr>
              <w:jc w:val="righ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(签字/盖章)</w:t>
            </w:r>
            <w:r/>
          </w:p>
        </w:tc>
      </w:tr>
      <w:tr>
        <w:trPr>
          <w:jc w:val="center"/>
          <w:trHeight w:val="1560"/>
        </w:trPr>
        <w:tc>
          <w:tcPr>
            <w:gridSpan w:val="2"/>
            <w:tcW w:w="1981" w:type="dxa"/>
            <w:vAlign w:val="center"/>
            <w:textDirection w:val="lrTb"/>
            <w:noWrap w:val="false"/>
          </w:tcPr>
          <w:p>
            <w:pPr>
              <w:jc w:val="center"/>
              <w:widowControl/>
              <w:rPr>
                <w:rFonts w:hint="eastAsia" w:ascii="楷体_GB2312" w:hAnsi="宋体" w:eastAsia="楷体_GB2312" w:cs="宋体"/>
                <w:sz w:val="20"/>
                <w:highlight w:val="none"/>
              </w:rPr>
            </w:pPr>
            <w:r>
              <w:rPr>
                <w:rFonts w:hint="eastAsia" w:ascii="楷体_GB2312" w:hAnsi="宋体" w:eastAsia="楷体_GB2312" w:cs="宋体"/>
                <w:sz w:val="20"/>
                <w:highlight w:val="none"/>
              </w:rPr>
              <w:t xml:space="preserve">建设单位</w:t>
            </w:r>
            <w:r/>
          </w:p>
          <w:p>
            <w:pPr>
              <w:jc w:val="center"/>
              <w:widowControl/>
              <w:rPr>
                <w:rFonts w:hint="eastAsia" w:ascii="楷体_GB2312" w:hAnsi="宋体" w:eastAsia="楷体_GB2312" w:cs="宋体"/>
                <w:sz w:val="20"/>
                <w:highlight w:val="none"/>
              </w:rPr>
            </w:pPr>
            <w:r>
              <w:rPr>
                <w:rFonts w:hint="eastAsia" w:ascii="楷体_GB2312" w:hAnsi="宋体" w:eastAsia="楷体_GB2312" w:cs="宋体"/>
                <w:sz w:val="20"/>
                <w:highlight w:val="none"/>
              </w:rPr>
              <w:t xml:space="preserve">承办部门</w:t>
            </w:r>
            <w:r/>
          </w:p>
        </w:tc>
        <w:tc>
          <w:tcPr>
            <w:gridSpan w:val="10"/>
            <w:tcW w:w="7228" w:type="dxa"/>
            <w:vAlign w:val="center"/>
            <w:textDirection w:val="lrTb"/>
            <w:noWrap w:val="false"/>
          </w:tcPr>
          <w:p>
            <w:pPr>
              <w:jc w:val="lef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t xml:space="preserve">                                                               </w:t>
            </w:r>
            <w:r/>
          </w:p>
          <w:p>
            <w:pPr>
              <w:jc w:val="left"/>
              <w:widowControl/>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p>
            <w:pPr>
              <w:jc w:val="center"/>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tc>
      </w:tr>
      <w:tr>
        <w:trPr>
          <w:jc w:val="center"/>
          <w:trHeight w:val="1482"/>
        </w:trPr>
        <w:tc>
          <w:tcPr>
            <w:gridSpan w:val="2"/>
            <w:tcW w:w="1981" w:type="dxa"/>
            <w:vAlign w:val="center"/>
            <w:textDirection w:val="lrTb"/>
            <w:noWrap w:val="false"/>
          </w:tcPr>
          <w:p>
            <w:pPr>
              <w:jc w:val="center"/>
              <w:widowControl/>
              <w:rPr>
                <w:rFonts w:hint="eastAsia" w:ascii="楷体_GB2312" w:hAnsi="宋体" w:eastAsia="楷体_GB2312" w:cs="宋体"/>
                <w:sz w:val="20"/>
                <w:highlight w:val="none"/>
              </w:rPr>
            </w:pPr>
            <w:r>
              <w:rPr>
                <w:rFonts w:hint="eastAsia" w:ascii="楷体_GB2312" w:hAnsi="宋体" w:eastAsia="楷体_GB2312" w:cs="宋体"/>
                <w:sz w:val="20"/>
                <w:highlight w:val="none"/>
              </w:rPr>
              <w:t xml:space="preserve">建设单位</w:t>
            </w:r>
            <w:r/>
          </w:p>
          <w:p>
            <w:pPr>
              <w:jc w:val="center"/>
              <w:widowControl/>
              <w:rPr>
                <w:rFonts w:hint="eastAsia" w:ascii="楷体_GB2312" w:hAnsi="宋体" w:eastAsia="楷体_GB2312" w:cs="宋体"/>
                <w:sz w:val="20"/>
                <w:highlight w:val="none"/>
              </w:rPr>
            </w:pPr>
            <w:r>
              <w:rPr>
                <w:rFonts w:hint="eastAsia" w:ascii="楷体_GB2312" w:hAnsi="宋体" w:eastAsia="楷体_GB2312" w:cs="宋体"/>
                <w:sz w:val="20"/>
                <w:highlight w:val="none"/>
              </w:rPr>
              <w:t xml:space="preserve">局 领 导</w:t>
            </w:r>
            <w:r/>
          </w:p>
        </w:tc>
        <w:tc>
          <w:tcPr>
            <w:gridSpan w:val="10"/>
            <w:tcW w:w="7228" w:type="dxa"/>
            <w:vAlign w:val="center"/>
            <w:textDirection w:val="lrTb"/>
            <w:noWrap w:val="false"/>
          </w:tcPr>
          <w:p>
            <w:pPr>
              <w:jc w:val="center"/>
              <w:rPr>
                <w:rFonts w:hint="eastAsia" w:ascii="楷体_GB2312" w:hAnsi="宋体" w:eastAsia="楷体_GB2312" w:cs="宋体"/>
                <w:sz w:val="22"/>
                <w:szCs w:val="22"/>
                <w:highlight w:val="none"/>
              </w:rPr>
            </w:pPr>
            <w:r>
              <w:rPr>
                <w:rFonts w:hint="eastAsia" w:ascii="楷体_GB2312" w:hAnsi="宋体" w:eastAsia="楷体_GB2312" w:cs="宋体"/>
                <w:sz w:val="22"/>
                <w:szCs w:val="22"/>
                <w:highlight w:val="none"/>
              </w:rPr>
            </w:r>
            <w:r/>
          </w:p>
        </w:tc>
      </w:tr>
      <w:tr>
        <w:trPr>
          <w:jc w:val="center"/>
          <w:trHeight w:val="990"/>
        </w:trPr>
        <w:tc>
          <w:tcPr>
            <w:gridSpan w:val="12"/>
            <w:tcW w:w="9209" w:type="dxa"/>
            <w:vAlign w:val="center"/>
            <w:textDirection w:val="lrTb"/>
            <w:noWrap w:val="false"/>
          </w:tcPr>
          <w:p>
            <w:pPr>
              <w:jc w:val="left"/>
              <w:widowControl/>
              <w:rPr>
                <w:rFonts w:hint="eastAsia" w:ascii="楷体_GB2312" w:hAnsi="宋体" w:eastAsia="楷体_GB2312" w:cs="宋体"/>
                <w:b/>
                <w:bCs/>
                <w:sz w:val="22"/>
                <w:szCs w:val="22"/>
                <w:highlight w:val="none"/>
              </w:rPr>
            </w:pPr>
            <w:r>
              <w:rPr>
                <w:rFonts w:hint="eastAsia" w:ascii="楷体_GB2312" w:hAnsi="宋体" w:eastAsia="楷体_GB2312" w:cs="宋体"/>
                <w:b/>
                <w:bCs/>
                <w:sz w:val="22"/>
                <w:szCs w:val="22"/>
                <w:highlight w:val="none"/>
              </w:rPr>
              <w:t xml:space="preserve">说明：设备价格、数量按照合同文件设备价格。</w:t>
            </w:r>
            <w:r/>
          </w:p>
        </w:tc>
      </w:tr>
    </w:tbl>
    <w:p>
      <w:pPr>
        <w:rPr>
          <w:rFonts w:ascii="楷体_GB2312" w:eastAsia="楷体_GB2312"/>
          <w:b/>
          <w:sz w:val="30"/>
          <w:szCs w:val="30"/>
          <w:highlight w:val="none"/>
        </w:rPr>
      </w:pPr>
      <w:r>
        <w:rPr>
          <w:rFonts w:hint="eastAsia" w:ascii="楷体_GB2312" w:eastAsia="楷体_GB2312"/>
          <w:b/>
          <w:sz w:val="30"/>
          <w:szCs w:val="30"/>
          <w:highlight w:val="none"/>
        </w:rPr>
        <w:t xml:space="preserve">附件3</w:t>
      </w:r>
      <w:r/>
    </w:p>
    <w:p>
      <w:pPr>
        <w:jc w:val="center"/>
        <w:rPr>
          <w:rFonts w:hint="eastAsia" w:ascii="宋体" w:hAnsi="宋体" w:cs="宋体"/>
          <w:b/>
          <w:sz w:val="15"/>
          <w:szCs w:val="15"/>
          <w:highlight w:val="none"/>
        </w:rPr>
      </w:pPr>
      <w:r>
        <w:rPr>
          <w:rFonts w:hint="eastAsia" w:ascii="宋体" w:hAnsi="宋体" w:cs="宋体"/>
          <w:b/>
          <w:sz w:val="28"/>
          <w:szCs w:val="28"/>
          <w:highlight w:val="none"/>
        </w:rPr>
        <w:t xml:space="preserve">维修通知单</w:t>
      </w:r>
      <w:r/>
    </w:p>
    <w:tbl>
      <w:tblPr>
        <w:tblStyle w:val="742"/>
        <w:tblpPr w:horzAnchor="margin" w:tblpXSpec="left" w:vertAnchor="text" w:tblpY="293" w:leftFromText="180" w:topFromText="0" w:rightFromText="180" w:bottomFromText="0"/>
        <w:tblW w:w="8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196"/>
        <w:gridCol w:w="28"/>
        <w:gridCol w:w="2037"/>
        <w:gridCol w:w="1559"/>
        <w:gridCol w:w="231"/>
        <w:gridCol w:w="2740"/>
      </w:tblGrid>
      <w:tr>
        <w:trPr>
          <w:trHeight w:val="851"/>
        </w:trPr>
        <w:tc>
          <w:tcPr>
            <w:gridSpan w:val="3"/>
            <w:tcW w:w="1844"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故障点位</w:t>
            </w:r>
            <w:r/>
          </w:p>
        </w:tc>
        <w:tc>
          <w:tcPr>
            <w:tcW w:w="2037"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c>
          <w:tcPr>
            <w:tcW w:w="1559"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故障类型</w:t>
            </w:r>
            <w:r/>
          </w:p>
        </w:tc>
        <w:tc>
          <w:tcPr>
            <w:gridSpan w:val="2"/>
            <w:tcW w:w="2971"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r>
      <w:tr>
        <w:trPr>
          <w:trHeight w:val="851"/>
        </w:trPr>
        <w:tc>
          <w:tcPr>
            <w:gridSpan w:val="3"/>
            <w:tcW w:w="1844"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报修人员</w:t>
            </w:r>
            <w:r/>
          </w:p>
        </w:tc>
        <w:tc>
          <w:tcPr>
            <w:tcW w:w="2037"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c>
          <w:tcPr>
            <w:tcW w:w="1559"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报修时间</w:t>
            </w:r>
            <w:r/>
          </w:p>
        </w:tc>
        <w:tc>
          <w:tcPr>
            <w:gridSpan w:val="2"/>
            <w:tcW w:w="2971"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r>
      <w:tr>
        <w:trPr>
          <w:trHeight w:val="851"/>
        </w:trPr>
        <w:tc>
          <w:tcPr>
            <w:gridSpan w:val="3"/>
            <w:tcW w:w="1844"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签收人员</w:t>
            </w:r>
            <w:r/>
          </w:p>
        </w:tc>
        <w:tc>
          <w:tcPr>
            <w:tcW w:w="2037"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c>
          <w:tcPr>
            <w:tcW w:w="1559"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签收时间</w:t>
            </w:r>
            <w:r/>
          </w:p>
        </w:tc>
        <w:tc>
          <w:tcPr>
            <w:gridSpan w:val="2"/>
            <w:tcW w:w="2971"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r>
      <w:tr>
        <w:trPr>
          <w:cantSplit/>
          <w:trHeight w:val="3260"/>
        </w:trPr>
        <w:tc>
          <w:tcPr>
            <w:tcW w:w="620" w:type="dxa"/>
            <w:textDirection w:val="tbRlV"/>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故障原因</w:t>
            </w:r>
            <w:r/>
          </w:p>
        </w:tc>
        <w:tc>
          <w:tcPr>
            <w:gridSpan w:val="6"/>
            <w:tcW w:w="7791"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r>
      <w:tr>
        <w:trPr>
          <w:trHeight w:val="1103"/>
        </w:trPr>
        <w:tc>
          <w:tcPr>
            <w:gridSpan w:val="2"/>
            <w:tcW w:w="1816"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维修情况</w:t>
            </w:r>
            <w:r/>
          </w:p>
        </w:tc>
        <w:tc>
          <w:tcPr>
            <w:gridSpan w:val="2"/>
            <w:tcW w:w="2065"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c>
          <w:tcPr>
            <w:gridSpan w:val="2"/>
            <w:tcW w:w="1790"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点位恢复时间</w:t>
            </w:r>
            <w:r/>
          </w:p>
        </w:tc>
        <w:tc>
          <w:tcPr>
            <w:tcW w:w="2740"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r>
            <w:r/>
          </w:p>
        </w:tc>
      </w:tr>
      <w:tr>
        <w:trPr>
          <w:trHeight w:val="2072"/>
        </w:trPr>
        <w:tc>
          <w:tcPr>
            <w:gridSpan w:val="2"/>
            <w:tcW w:w="1816"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故障原因确认</w:t>
            </w:r>
            <w:r/>
          </w:p>
        </w:tc>
        <w:tc>
          <w:tcPr>
            <w:gridSpan w:val="5"/>
            <w:tcW w:w="6595" w:type="dxa"/>
            <w:vAlign w:val="center"/>
            <w:textDirection w:val="lrTb"/>
            <w:noWrap w:val="false"/>
          </w:tcPr>
          <w:p>
            <w:pPr>
              <w:jc w:val="left"/>
              <w:spacing w:before="120" w:after="120"/>
              <w:rPr>
                <w:rFonts w:hint="eastAsia" w:ascii="宋体" w:hAnsi="宋体" w:cs="宋体"/>
                <w:b/>
                <w:sz w:val="15"/>
                <w:szCs w:val="15"/>
                <w:highlight w:val="none"/>
              </w:rPr>
            </w:pPr>
            <w:r>
              <w:rPr>
                <w:rFonts w:ascii="Wingdings 2" w:hAnsi="Wingdings 2" w:eastAsia="Wingdings 2" w:cs="Wingdings 2"/>
                <w:b/>
                <w:sz w:val="15"/>
                <w:szCs w:val="15"/>
                <w:highlight w:val="none"/>
              </w:rPr>
              <w:t xml:space="preserve">£</w:t>
            </w:r>
            <w:r>
              <w:rPr>
                <w:rFonts w:hint="eastAsia" w:ascii="宋体" w:hAnsi="宋体" w:cs="宋体"/>
                <w:b/>
                <w:sz w:val="15"/>
                <w:szCs w:val="15"/>
                <w:highlight w:val="none"/>
              </w:rPr>
              <w:t xml:space="preserve">上述故障原因情况属实</w:t>
            </w:r>
            <w:r/>
          </w:p>
          <w:p>
            <w:pPr>
              <w:jc w:val="left"/>
              <w:spacing w:before="120" w:after="120"/>
              <w:rPr>
                <w:rFonts w:hint="eastAsia" w:ascii="宋体" w:hAnsi="宋体" w:cs="宋体"/>
                <w:b/>
                <w:sz w:val="15"/>
                <w:szCs w:val="15"/>
                <w:highlight w:val="none"/>
              </w:rPr>
            </w:pPr>
            <w:r>
              <w:rPr>
                <w:rFonts w:hint="eastAsia" w:ascii="宋体" w:hAnsi="宋体" w:cs="宋体"/>
                <w:b/>
                <w:sz w:val="15"/>
                <w:szCs w:val="15"/>
                <w:highlight w:val="none"/>
              </w:rPr>
            </w:r>
            <w:r/>
          </w:p>
          <w:p>
            <w:pPr>
              <w:jc w:val="left"/>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□上述故障原因情况不属实，实际原因为                   </w:t>
            </w:r>
            <w:r/>
          </w:p>
        </w:tc>
      </w:tr>
      <w:tr>
        <w:trPr>
          <w:trHeight w:val="1573"/>
        </w:trPr>
        <w:tc>
          <w:tcPr>
            <w:gridSpan w:val="2"/>
            <w:tcW w:w="1816"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恢复正常确认</w:t>
            </w:r>
            <w:r/>
          </w:p>
        </w:tc>
        <w:tc>
          <w:tcPr>
            <w:gridSpan w:val="5"/>
            <w:tcW w:w="6595" w:type="dxa"/>
            <w:vAlign w:val="center"/>
            <w:textDirection w:val="lrTb"/>
            <w:noWrap w:val="false"/>
          </w:tcPr>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上述点位于    年   月   日   时恢复正常</w:t>
            </w:r>
            <w:r/>
          </w:p>
          <w:p>
            <w:pPr>
              <w:jc w:val="right"/>
              <w:spacing w:before="120" w:after="120"/>
              <w:rPr>
                <w:rFonts w:hint="eastAsia" w:ascii="宋体" w:hAnsi="宋体" w:cs="宋体"/>
                <w:b/>
                <w:sz w:val="15"/>
                <w:szCs w:val="15"/>
                <w:highlight w:val="none"/>
              </w:rPr>
            </w:pPr>
            <w:r>
              <w:rPr>
                <w:rFonts w:hint="eastAsia" w:ascii="宋体" w:hAnsi="宋体" w:cs="宋体"/>
                <w:b/>
                <w:sz w:val="15"/>
                <w:szCs w:val="15"/>
                <w:highlight w:val="none"/>
              </w:rPr>
            </w:r>
            <w:r/>
          </w:p>
          <w:p>
            <w:pPr>
              <w:jc w:val="center"/>
              <w:spacing w:before="120" w:after="120"/>
              <w:rPr>
                <w:rFonts w:hint="eastAsia" w:ascii="宋体" w:hAnsi="宋体" w:cs="宋体"/>
                <w:b/>
                <w:sz w:val="15"/>
                <w:szCs w:val="15"/>
                <w:highlight w:val="none"/>
              </w:rPr>
            </w:pPr>
            <w:r>
              <w:rPr>
                <w:rFonts w:hint="eastAsia" w:ascii="宋体" w:hAnsi="宋体" w:cs="宋体"/>
                <w:b/>
                <w:sz w:val="15"/>
                <w:szCs w:val="15"/>
                <w:highlight w:val="none"/>
              </w:rPr>
              <w:t xml:space="preserve">                                   确认人：</w:t>
            </w:r>
            <w:r/>
          </w:p>
        </w:tc>
      </w:tr>
    </w:tbl>
    <w:p>
      <w:pPr>
        <w:rPr>
          <w:rFonts w:hint="eastAsia" w:ascii="楷体_GB2312" w:hAnsi="宋体" w:eastAsia="楷体_GB2312"/>
          <w:b/>
          <w:sz w:val="30"/>
          <w:szCs w:val="30"/>
          <w:highlight w:val="none"/>
        </w:rPr>
      </w:pPr>
      <w:r>
        <w:rPr>
          <w:rFonts w:hint="eastAsia" w:ascii="楷体_GB2312" w:hAnsi="宋体" w:eastAsia="楷体_GB2312"/>
          <w:b/>
          <w:sz w:val="30"/>
          <w:szCs w:val="30"/>
          <w:highlight w:val="none"/>
        </w:rPr>
      </w:r>
      <w:r/>
    </w:p>
    <w:p>
      <w:pPr>
        <w:rPr>
          <w:highlight w:val="none"/>
        </w:rPr>
      </w:pPr>
      <w:r>
        <w:rPr>
          <w:rFonts w:hint="eastAsia" w:ascii="楷体_GB2312" w:hAnsi="宋体" w:eastAsia="楷体_GB2312"/>
          <w:b/>
          <w:sz w:val="30"/>
          <w:szCs w:val="30"/>
          <w:highlight w:val="none"/>
        </w:rPr>
        <w:t xml:space="preserve">附件4：</w:t>
      </w:r>
      <w:r/>
    </w:p>
    <w:p>
      <w:pPr>
        <w:jc w:val="center"/>
        <w:spacing w:before="120" w:after="120"/>
        <w:rPr>
          <w:rFonts w:hint="eastAsia" w:ascii="宋体" w:hAnsi="宋体" w:cs="宋体"/>
          <w:b/>
          <w:sz w:val="32"/>
          <w:szCs w:val="32"/>
          <w:highlight w:val="none"/>
        </w:rPr>
      </w:pPr>
      <w:r>
        <w:rPr>
          <w:rFonts w:hint="eastAsia" w:ascii="宋体" w:hAnsi="宋体" w:cs="宋体"/>
          <w:b/>
          <w:sz w:val="32"/>
          <w:szCs w:val="32"/>
          <w:highlight w:val="none"/>
        </w:rPr>
        <w:t xml:space="preserve">项目管理考核细则</w:t>
      </w:r>
      <w:r/>
    </w:p>
    <w:p>
      <w:pPr>
        <w:jc w:val="center"/>
        <w:spacing w:line="360" w:lineRule="auto"/>
        <w:rPr>
          <w:rFonts w:ascii="Times New Roman" w:hAnsi="Times New Roman"/>
          <w:b/>
          <w:bCs/>
          <w:sz w:val="24"/>
          <w:highlight w:val="none"/>
          <w:lang w:val="zh-CN"/>
        </w:rPr>
      </w:pPr>
      <w:r>
        <w:rPr>
          <w:rFonts w:hint="eastAsia" w:ascii="Times New Roman" w:hAnsi="Times New Roman"/>
          <w:b/>
          <w:bCs/>
          <w:sz w:val="24"/>
          <w:highlight w:val="none"/>
        </w:rPr>
        <w:t xml:space="preserve">第一章  </w:t>
      </w:r>
      <w:r>
        <w:rPr>
          <w:rFonts w:hint="eastAsia" w:ascii="Times New Roman" w:hAnsi="Times New Roman"/>
          <w:b/>
          <w:bCs/>
          <w:sz w:val="24"/>
          <w:highlight w:val="none"/>
          <w:lang w:val="zh-CN"/>
        </w:rPr>
        <w:t xml:space="preserve">总  则</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第一条 为了进一步规范和完善工程施工的管理工作，加强对承建单位的管理，同时确保工程建设安全，加快工程建设进度，提高工程施工质量，依据国家法律法规、相关标准规范制定本考核细则。</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第二条 凡参与本工程建设活动的有关单位和个人必须遵循本办法的规定。</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第三条 监理单位作为建设单位委托的独立第三方机构，受建设单位委托负责对承建单位的组织管理、安全、质量、进度等维度进行全方位的监督与考核。</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第四条 承建单位必须按投标书中的承诺</w:t>
      </w:r>
      <w:r>
        <w:rPr>
          <w:rFonts w:hint="eastAsia" w:ascii="宋体" w:hAnsi="宋体" w:cs="宋体"/>
          <w:color w:val="000000"/>
          <w:sz w:val="24"/>
          <w:highlight w:val="none"/>
          <w:lang w:val="zh-CN"/>
        </w:rPr>
        <w:t xml:space="preserve">配备足额的项目经理、质检员、安全员以及各类仪器仪表、工程车辆以满足工程施工要求。同时将办公地点、机构设置、管理人员(安全员、质检员、材料员、资料员)、项目经理、技术人员、施工人员花名册及工具、仪器仪表、车辆数量按投标文件所承诺的配置上报工程建设单位备案。人员、工器具、设备未到位的不得承接施工任务，未经备案或未能通过测试的项目经理不得参与工程施工工作。为便于工作配合，项目经理应相对固定，如有变更，承建单位应提前7天书面提请建设单位和有关各方，经建设单位同意后，替换人员应提前半个月介入工程，熟悉流程后方可替换。</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第五条 承建单位不得违反建设基本程序，严禁无设计先施工和不按照设计施工，不得将承包的工程转包和非法分包给第三方。</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第六条 承建单位必须依据国家有关法律、法规及时与所有工人(包括临时用工)签订劳动合同，同时办理人身意外保险；不得拖欠工人工资，如因劳务纠纷对甲方造成影响的应由乙方自行协调解决。</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第七条 承建单位应负责教育好本单位人员遵守当地政府规定，及时到当地公安派出所办理外来人员暂住证及其它证件，处理好群众关系。严格遵守有关的规章制度和保密规定，对所涉及的内容负保密责任。</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第八条 严格遵守建设单位的廉政规定，积极配合建设单位做好廉政建设，落实廉政承诺，不得向工程有关人员赠送有影响工程建设活动的财物、返还折扣费和提供各种资助等；管好本单位员工，不做有违反廉政规定和影响工程公正、公平实施的活动；在工程建设过程中发现有违反廉政规定情况的，请及时向建设单位纪检部门举报。</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第九条 承建单位应积极主动提供上述规定内容的相关资料，接受建设单位和监理单位的检查。对不符合第四、五、六、七、八条规定的承建单位，建设单位有权不委托其施工和变更委托单位(须报批)，直至解除承包合同，同时建设单位有权保留追究承建单位相关责任及应负法律责任的权力。</w:t>
      </w:r>
      <w:r/>
    </w:p>
    <w:p>
      <w:pPr>
        <w:jc w:val="center"/>
        <w:spacing w:line="360" w:lineRule="auto"/>
        <w:rPr>
          <w:rFonts w:ascii="Times New Roman" w:hAnsi="Times New Roman"/>
          <w:b/>
          <w:bCs/>
          <w:sz w:val="24"/>
          <w:highlight w:val="none"/>
        </w:rPr>
      </w:pPr>
      <w:r>
        <w:rPr>
          <w:rFonts w:hint="eastAsia" w:ascii="Times New Roman" w:hAnsi="Times New Roman"/>
          <w:b/>
          <w:bCs/>
          <w:sz w:val="24"/>
          <w:highlight w:val="none"/>
        </w:rPr>
        <w:t xml:space="preserve">第二章  项目实施的管理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第十条 工程施工的组织</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1.承建单位要有健全的管理体系，从组织形式上确保安全、质量、进度、投资控制等各项目标的实现。同时要确定各项工作负责与项目其他参加单位的联系人员，确保沟通顺畅。</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承建单位应有实施工程管理的整套规章制度且符合建设工程安全生产管理规定的相关要求，明确相关专业的部颁标准，制定规范学习、设备器材管理、安全管理、质量管理等一系列的管理办法，并确保办法的落实。</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工程项目承接后，项目经理应先对工程的图纸、资料、技术要求等全面熟悉，并会同监理人员、设计人员到现场复测和安全技术交底，根据工程实际情况，编制工程施工组织设计方案，五个工作日内报监理审批，审批通过后报建设单位签认。</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4.承建单位应建立所有员工档案，并为每个员工配备工作证。承建单位应将员工档案报建设单位、监理单位备案，如有变动应及时通知建设单位、监理单位。</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工程施工组织方案经监理单位审批，建设单位签认后，承建单位填好开工报告及《特种作业人员报审表》等各类报审表报送建设单位、监理单位等相关部门批准并下发开工令后才可开工。应急抢修及绿色通道工程可先开工，在48小时内补报开工报告。</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6.承建单位应对员工进行业务技能、安全生产培训的次数每月不少于一次。</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7.施工用仪器仪表及车辆配备充足，正常使用。</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第十一条 工程施工时限以施工合同或委托书为准，不具备施工条件或不可抗拒的因素影响工程进度，承建单位要及时向建设单位汇报，并填写工程临时延期申请表，向随工、监理人员签证并报建设单位审批同意后方可延期。</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第十二条 施工现场的管理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1.施工人员必须挂牌上岗，尽量统一着装。严格按安全操作规程进行施工，佩戴好安全帽、安全带、防疫用品及其他所需的劳动防护用品。</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2.因承建单位施工造成的损失和相应后果，由承建单位负责承担相应的责任和赔偿。</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在公路上、街道边以及有危及安全的地方施工时，施工现场周边应做好安全警示标志，提示过往车辆和行人注意施工安全。施工现场管理人员要认真履行职责，做好现场监督管理工作。施工现场材料堆放规范，不影响交通，安全可靠。</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4.承建单位应建立健全闭环的安全保证体系，落实安全责任制，加强施工现场的安全管理，每个现场工地至少配备一位安全员，且持证上岗。</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第十三条 工程施工质量管理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1.承建单位应建立健全闭环的质量保证体系，落实质量责任制，加强施工现场的质量管理，各标段至少配备一位专职质检员，严格工程质量的自我管理和自查自纠。</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2.工程施工必须严格按部颁标准、设计文件要求执行，确保工程质量达到要求标准。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3.承建单位应密切配合随工人员、监理人员，做好隐蔽工程签证工作。无特殊情况隐蔽工程工作量随工签证应当天在现场签证，并应做到准确无误。</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4.承建单位严格服从监理单位的正常监理和日常工程管理，不得侵犯监理单位的权威性，如有异议可向建设单位书面申诉，不得与监理公司发生冲突或违背监理公司正常监管。</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对施工中出现的质量问题或施工过程检验不合格的项目及监理单位预验收不合格的单项工程，承建单位应在监理单位下发的整改通知书规定整改时限内完成整改，并以书面回复整改情况，并按期进行整改，以符合质量标准要求。同时整改通知书应装订进竣工资料中。</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6.承建单位应严格按设计文件及批准后的施工组织设计方案组织工程施工，在实际施工中如需变更设计，应上报监理审核，经建设单位同意后，由设计单位进行设计更改，方可继续施工。</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第十四条 工程施工进度管理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1.承建单位必须按照建设单位施工合同或委托书规定的完工期限制定施工进度计划，并配合建设单位、监理单位每周分析工程进度，如施工进度滞后于计划进度，需认真分析原因并及时采取有效的措施解决。</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2.若因承建单位原因影响到工程进度，建设单位将按照合同约定对承包方进行违约索赔。</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3.由于建设单位原因或自然灾害等不可抗力因素造成的延期，建设单位将视情况不予追究。</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第十五条 工程安全生产管理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承建单位须具备安全生产资质，遵守安全生产法律、法规及建设单位各项安全管理规定，加强安全生产管理，建立、健全安全生产责任制度，完善安全生产条件，确保安全生产。承建单位必须按照安全生产的规定配备相应的安全生产设施设备，并确保在生产过程中设施设备的正常使用。</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2.承建单位应当建立健全的安全生产责任制度和安全生产教育培训制度等，对所承担的工程进行定期和专项安全检查，并做好安全检查记录。</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承建单位应组织召开管理、施工人员安全生产教育会议，介绍施工中有关安全、防火等规章制度及要求，树立设备、车辆、人员完好的安全意识，严禁带病使用和出车，定时对双方项目进行安全性能的检测。承建单位必须检查、督促施工人员严格遵守、认真执行。</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承建单位人员对不同工作区域、作业环境、操作设施设备、工具用具等必须认真检查，发现隐患立即停止，并落实整改后方准开工。一旦承建单位开展工作，就表示承建单位确认工作场所、作业环境、设施设备、工具用具等符合安全要求和处于安全状态。承建单位对工作过程中由于上述因素不良而导致的事故后果负全部责任。</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承建单位对所聘用人员必须实行持证上岗制度，作业时配备劳动安全保护用品，建立安全管理制度，设立安全员。承建单位须依法为为所有进场作业人员办理工伤保险，同时购买保额不低于100万元的人身意外伤害险。</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6.承建单位对违反安全操作规程，导致建设单位或第三方遭受损失的，承建单位必须承担全部责任。</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7.承建单位因违反安全管理规定而停工的，建设单位不承担任何责任；承建单位对工作范围内发现的安全隐患要及时书面通知建设单位，并积极采取安全防范措施。</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8.承建单位对人员流动和外来务工人员必须进行通信、信息安全重要性教育，严防因解聘而构成对建设单位通信、信息的安全隐患。</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9.承建单位对所聘人员要严格把关，对发生人员伤亡事故、交通安全事故等，建设单位不承担任何责任。</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承建单位在工作过程中发生的人身伤亡、火警、火灾等一切事故，均由承建单位自己负责，与建设单位无关。承建单位人员在工作期间造成伤亡、火警、火灾、机械等重大事故，承建单位应协力进行紧急抢救伤员和保护现场，按国务院及江苏省有关事故报告规定在事故发生后的二十四小时内及时报告上级主管部门及市、区劳动保护监察部门等有关机构，同时需立即通知建设单位。事故的损失、经济赔偿及善后处理，由承建单位承担。</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11.承建单位必须建立应急机制及预案，保证突发事件的处理。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第十六条 工程竣工验收管理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工程完工后，承建单位应首先自行对工程进行质量自检，自检合格后编制竣工技术文件、结算表并报监理单位进行工程预验收，经预验合格后，填报工程竣工报验单表及竣工报告经监理批准后上报建设单位申请验收。</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2.对初验存在的问题承建单位应按整改意见书要求的时间内(原则上7个自然天以内)将存在的问题整改完毕，并承担自身原因造成的整改费用。</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3.工程竣工资料应准确、清晰、齐全。承建单位应提交竣工技术文件不少于三套并必须同时提供相符合的电子文档。</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第十七条 工程材料管理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1.承建单位要加强现场材料的管理，做好材料进出的台账，做到帐物相等，随时接受检查。</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由承建单位负责采购的设备、材料、配件，应满足招标文件要求、投标文件承诺以及建设单位的使用要求，但是甲控设备需向建设单位指定的供货商采购，同时必须符合国颁、部颁技术质量标准和设计文件要求，到货后需报监理单位检验和建设单位抽验，经同意使用后，方可使用。</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第十八条 工程施工人员管理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承建单位必须配置专职的现场安全管理人员，且要求持证上岗，同时在工程开工前必须组织安全教育和安全操作措施交底，增强施工人员的安全意识，提高操作技能，建立安全施工方面的记录。开展班前安全教育。</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第十九条 质保期间管理</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本项目质保期为5年，质保期自项目通过终验之日起算。按照附件4：《维护协议》规定执行。</w:t>
      </w:r>
      <w:r/>
    </w:p>
    <w:p>
      <w:pPr>
        <w:jc w:val="center"/>
        <w:spacing w:line="360" w:lineRule="auto"/>
        <w:rPr>
          <w:rFonts w:ascii="Times New Roman" w:hAnsi="Times New Roman"/>
          <w:b/>
          <w:bCs/>
          <w:sz w:val="24"/>
          <w:highlight w:val="none"/>
        </w:rPr>
      </w:pPr>
      <w:r>
        <w:rPr>
          <w:rFonts w:hint="eastAsia" w:ascii="Times New Roman" w:hAnsi="Times New Roman"/>
          <w:b/>
          <w:bCs/>
          <w:sz w:val="24"/>
          <w:highlight w:val="none"/>
        </w:rPr>
        <w:t xml:space="preserve">第三章  具体考核细则</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第二十条</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建设单位、监理单位按照以下管理办法对承建单位进行相关考核。</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第二十一条</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超出施工合同或委托书时限按合同约定扣除违约金，延误超过10天的，除扣除相应违约金外，建设单位有权采取补救措施，由此产生的费用和风险由承建单位承担。非承建单位原因导致工程延期的，以延期最终要求竣工日期为考核日期。</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2.开工报告、完工报告、工程周报、材料报表、施工日志不及时，每次扣除违约金300元；报表不准确的每处扣除违约金50元违约金。</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3.不按规定佩戴好安全帽和正确使用好劳动防护用品每人扣50元违约金。</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4.承建单位施工人员应挂牌上岗，不按规定挂牌每人次扣50元违约金。</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5.在机房、公路、街道边以及有危及安全的地方施工时，不按规定设置施工安全标志牌或施工警示牌的每次扣除500元违约金。</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6.承建单位每天出工前必须开展班前安全教育，方可出工。未开展班前教育或班前教育无记录的每天扣除违约金100元。</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7.因承建单位安全措施不到位，造成人员伤亡的，扣罚违约金50000元/人/次，并承担其它相应的赔补和处罚费用。</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承建单位项目负责人、安全员离开项目所在地需提前向建设单位或监理单位告知，且离岗前需做好相应的人员交接与工作交接。擅自离岗的，每发现一次，扣除违约金1000-2000元，如造成建设单位相关损失的，还需承但相应的赔偿和其他行政处罚，情节严重的直接解除承包合同。</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9.隐蔽工程未及时报监理单位验收私自隐蔽的，每发生一起，扣除违约金500元，且监理单位有权要求承建单位将已隐蔽工程拆除，重新报监理单位验收。</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工程施工过程中涉及到线路或设备割接，需向建设单位、监理单位提交割接申请及割接方案，并经建设单位、监理单位审批，如私自割接，每发现一起，扣除2000元违约金，如割接造成建设单位或其他单位损失的，由承建单位承但全部责任。如割接时承建单位项目经理未到现场组织割接的每次扣500元违约金。</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11.因不文明施工引起相关单位有理由投诉的每次扣除违约金每次扣除违约金1000-2000元；情节严重的并给建设单位声誉造成恶劣影响的，直接解除承包合同。</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工程预验收存在的问题整改超监理单位整改通知书时限的，每延期1天扣500元违约金，重复整改每次扣除1000元违约金。终验后需整改的问题未及时整改的，每延期1天扣除违约金1000元。(整改时限原则上不得超过7个自然日)</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13.预验收时竣工图、结算表，工程量弄虚作假每次处扣除违约金500-2000元。</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14.工程竣工技术文件和结算资料未按期提供，每超过1天扣除违约金100元，超过10天，每天扣除违约金200元。工程竣工结算资料不齐全每项扣除违约金500元。</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15.驻场期间，驻场人员须严格按照合同约定必须具备处理问题的能力，如驻场人员不能满足建设单位要求，承建单位必须更换具备能力的人员驻场，且每更换一次，扣除违约金2000元/人次，如更换人员仍不能满足建设单位要求的，追究承建单位由此引起的建设单位损失。</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16.驻场人员必须严格遵守建设单位出勤、保密、安全等相关制度，如驻场人员违反相关制度，并引起建设单位投诉的，每出现一起，扣除违约金1000元/次，如连续出现三次投诉，则承建单位必须更换驻场人员，并按照第三章第二十一条第15款规定扣除2000元违约金，如因驻场人员工作失职引起建设单位损失，视情节轻重扣除10000-50000元不等的违约金，情节特别严重的，直接解除承包合同。</w:t>
      </w:r>
      <w:r/>
    </w:p>
    <w:p>
      <w:pPr>
        <w:jc w:val="center"/>
        <w:spacing w:line="360" w:lineRule="auto"/>
        <w:rPr>
          <w:rFonts w:ascii="Times New Roman" w:hAnsi="Times New Roman"/>
          <w:b/>
          <w:bCs/>
          <w:sz w:val="24"/>
          <w:highlight w:val="none"/>
        </w:rPr>
      </w:pPr>
      <w:r>
        <w:rPr>
          <w:rFonts w:hint="eastAsia" w:ascii="Times New Roman" w:hAnsi="Times New Roman"/>
          <w:b/>
          <w:bCs/>
          <w:sz w:val="24"/>
          <w:highlight w:val="none"/>
        </w:rPr>
        <w:t xml:space="preserve">第四章  附则</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第二十二条 本细则所涉及扣款均为人民币的单位。</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第二十三条 本细则自发布之日起实行。</w:t>
      </w:r>
      <w:r/>
    </w:p>
    <w:p>
      <w:pPr>
        <w:rPr>
          <w:highlight w:val="none"/>
        </w:rPr>
      </w:pPr>
      <w:r>
        <w:rPr>
          <w:highlight w:val="none"/>
        </w:rPr>
      </w:r>
      <w:r/>
    </w:p>
    <w:p>
      <w:pPr>
        <w:rPr>
          <w:highlight w:val="none"/>
        </w:rPr>
      </w:pPr>
      <w:r>
        <w:rPr>
          <w:rFonts w:hint="eastAsia" w:ascii="楷体_GB2312" w:hAnsi="宋体" w:eastAsia="楷体_GB2312"/>
          <w:b/>
          <w:sz w:val="30"/>
          <w:szCs w:val="30"/>
          <w:highlight w:val="none"/>
        </w:rPr>
        <w:t xml:space="preserve">附件5：</w:t>
      </w:r>
      <w:r/>
    </w:p>
    <w:p>
      <w:pPr>
        <w:jc w:val="center"/>
        <w:spacing w:before="120" w:after="120"/>
        <w:rPr>
          <w:highlight w:val="none"/>
        </w:rPr>
      </w:pPr>
      <w:r>
        <w:rPr>
          <w:rFonts w:hint="eastAsia" w:ascii="宋体" w:hAnsi="宋体" w:cs="宋体"/>
          <w:b/>
          <w:sz w:val="32"/>
          <w:szCs w:val="32"/>
          <w:highlight w:val="none"/>
        </w:rPr>
        <w:t xml:space="preserve">维护协议</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甲方：滨海县公安局(以下简称甲方)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w:t>
      </w:r>
      <w:r>
        <w:rPr>
          <w:rFonts w:hint="eastAsia" w:ascii="Times New Roman" w:hAnsi="Times New Roman"/>
          <w:sz w:val="24"/>
          <w:highlight w:val="none"/>
          <w:u w:val="single"/>
        </w:rPr>
        <w:t xml:space="preserve">                    </w:t>
      </w:r>
      <w:r>
        <w:rPr>
          <w:rFonts w:hint="eastAsia" w:ascii="Times New Roman" w:hAnsi="Times New Roman"/>
          <w:sz w:val="24"/>
          <w:highlight w:val="none"/>
        </w:rPr>
        <w:t xml:space="preserve">公司(以下简称乙方)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依照《中华人民共和国政府采购法》、《中华人民共和国民法典》、及其他有关法律、法规，遵循平等、自愿、公平和诚实信用的原则，双方就本维护工程事项协商一致，订立本合同。</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一、工程概况</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en-US" w:eastAsia="zh-CN"/>
        </w:rPr>
        <w:t xml:space="preserve">项目</w:t>
      </w:r>
      <w:r>
        <w:rPr>
          <w:rFonts w:hint="eastAsia" w:ascii="Times New Roman" w:hAnsi="Times New Roman"/>
          <w:sz w:val="24"/>
          <w:highlight w:val="none"/>
        </w:rPr>
        <w:t xml:space="preserve">名称：滨海县公安局道路交通安全提升项目</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en-US" w:eastAsia="zh-CN"/>
        </w:rPr>
        <w:t xml:space="preserve">项目</w:t>
      </w:r>
      <w:r>
        <w:rPr>
          <w:rFonts w:hint="eastAsia" w:ascii="Times New Roman" w:hAnsi="Times New Roman"/>
          <w:sz w:val="24"/>
          <w:highlight w:val="none"/>
        </w:rPr>
        <w:t xml:space="preserve">地点：滨海县</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en-US" w:eastAsia="zh-CN"/>
        </w:rPr>
        <w:t xml:space="preserve">项目</w:t>
      </w:r>
      <w:r>
        <w:rPr>
          <w:rFonts w:hint="eastAsia" w:ascii="Times New Roman" w:hAnsi="Times New Roman"/>
          <w:sz w:val="24"/>
          <w:highlight w:val="none"/>
        </w:rPr>
        <w:t xml:space="preserve">内容：</w:t>
      </w:r>
      <w:r>
        <w:rPr>
          <w:rFonts w:hint="eastAsia" w:hAnsi="宋体" w:cs="宋体"/>
          <w:color w:val="000000"/>
          <w:sz w:val="24"/>
          <w:highlight w:val="none"/>
        </w:rPr>
        <w:t xml:space="preserve">针对我县当前道路交通安全面临的形势和工作实际情况，充分考虑县域道路状况、事故易发路段、事故“减量控大”等因素，聚焦于安全为先、问题导向、效率为本、科技赋能等方面，围绕精准化违法管控、立体化安全防控、突发情况应急防范与服务、全面支撑基础设施保障四大体系对道路交通安全进行提升，包括产品（含相关附配件、软件）的采购、包装、运输、装卸、安装、调试、集成、培训、验收、五年免费质量保修期内维保、售后服务等相伴随服务。</w:t>
      </w:r>
      <w:r>
        <w:rPr>
          <w:rFonts w:hint="eastAsia" w:ascii="宋体" w:hAnsi="宋体" w:cs="宋体"/>
          <w:color w:val="000000"/>
          <w:sz w:val="24"/>
          <w:highlight w:val="none"/>
        </w:rPr>
        <w:t xml:space="preserve">包含</w:t>
      </w:r>
      <w:r>
        <w:rPr>
          <w:rFonts w:hint="eastAsia" w:ascii="宋体" w:hAnsi="宋体" w:cs="宋体"/>
          <w:sz w:val="24"/>
          <w:highlight w:val="none"/>
        </w:rPr>
        <w:t xml:space="preserve">所需货物及配套设施设备的采购、包装、运输、安装、调试、验收、培训、五年免费质量保修期内维保、售后服务等相伴随服务。</w:t>
      </w:r>
      <w:r>
        <w:rPr>
          <w:rFonts w:hint="eastAsia" w:ascii="宋体" w:hAnsi="宋体" w:cs="宋体"/>
          <w:color w:val="000000"/>
          <w:sz w:val="24"/>
          <w:highlight w:val="none"/>
        </w:rPr>
        <w:t xml:space="preserve">（详细内容见本招标文件第四章）</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二、工程范围 </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工程范围：滨海县公安局道路交通安全提升项目设备、软件、光电缆线路等维修保障、日常保养、紧急维护等。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三、合同有效期(五年)</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开始日期：自项目竣工验收合格之日起开始计算。</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结束日期：自开始日期起五年内。</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四、质量标准</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乙方在对系统设备、</w:t>
      </w:r>
      <w:r>
        <w:rPr>
          <w:rFonts w:hint="eastAsia" w:ascii="Times New Roman" w:hAnsi="Times New Roman"/>
          <w:sz w:val="24"/>
          <w:highlight w:val="none"/>
        </w:rPr>
        <w:t xml:space="preserve">软件、光电缆线路等进行维修、维护、保养等过程中应严格遵守《安全防范工程技术规范》(GB 50348-2004)、《安全防范系统雷电浪涌防护技术要求》(GA/T670-2006)、《视频安防监控系统工程设计规范》(GB50395-2006)、《城市监控报警联网系统建设通用技术要求》(GA/T 669-2008)、《安全防范视频监控联网系统信息传输、交换、控制技术要求》(GB/T 28181-2018)等一系列视频安防相关系统、工程技术规范要求；严格按照合同要求进行维护保养工作，并接受市局、县局考核，具体如下：</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第一条、维护服务具体内容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包括：前端采集点维护、传输线路维护、设备维护、系统软件维护、系统主机设备及其附属设备维护。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维护服务内容如下：</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前端摄像机的镜头调试、设备除尘除雾、位置调整、摄像机维修及更换、故障排除等。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光纤线路、摄像机控制线路和接口检测、隐患排查、故障排除。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所有采集、传输、显示、控制、交换、存储、服务器和电源设备的维护和故障排除。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系统软件检测、软件升级、软件维护、数据备份、故障排除等。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系统主机设备检测、设备除尘、系统维护、设备维护、故障排除等。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第二条、设备保养内容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乙方应定期对系统所有相关设备、软件等进行保养，并形成保养记录，每次保养记录由甲方签字确认。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摄像机保养：定期擦拭保养摄像机，平均每月1次对摄像机进行清洁，及时清除遮挡监控视线的障碍物。</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机房保养：必须每月对机房设备进行检测保养。</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网络应用终端：系统软件故障排除及恢复、病毒防范及消除、硬盘垃圾清理、外设安装调试、系统安装调试与维护、应急、系统恢复及日常维护等。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网络服务系统：包括服务器软硬件系统、网络线缆线路、网络交换路由设备、检测、保养、维护及故障排除等。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安全维护及资产管理工作：滨海县公安局对全县的公共安全视频监控及其它科技类外场设施进行信息安全和资产进行管理，乙方需要无条件配合甲方对乙方实施内容的信息安全和资产管理工作(包括但不限于设备的一机一档信息、mac地址等基础信息和后续设备更换后的信息采集和录入等工作)。</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其他保养：对监控立杆和设备箱等设施的损坏和锈蚀应及时进行修复和翻新。对摄像机的位置有迁移必要时进行迁移，摄像机迁移以滨海县公安局指定为准，乙方不得对杆件、箱体及设备等现有设施的拆除、重新安装调试、接入配置、传输链路和取电点迁移等工作内容进行收费，但是杆件地笼、重新敷设的线缆、因为迁移而需要的重新开挖及恢复等新工作量按照投标单价进行计费(招标文件中没有单价的工作量由甲乙双方友好协商，但乙方不得拒绝迁移工作。)</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第三条、巡检</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应对前端摄像机等重要设备进行每月至少1次全面巡检，并建立台账，遇重大活动、重大节假日和其它紧急情况，甲方要求进行巡检的，乙方应安排巡检。每次巡检记录应由甲方签字确认。巡检若发现本项目重要设备存在运行问题的，乙方应立即整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运维人员应每天登录平台，对系统运行情况、摄像机在线情况、人像车辆抓拍情况、经纬度准确率、图像传输质量和效果进行日常检查，发现问题，应立即解决。</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乙方应定期对系统进行巡检，应围绕如下几个方面进行：</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a.前端设备运行状况。包括：摄像机、镜头、网络传输设备等。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b.管线情况。包括管线质量、防雷接地情况、屏蔽情况、线路接头质量等。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c.中心控制设备运行状况。包括：存储设备、网络交换设备、服务器、存储软件等。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d.系统功能、系统的各项技术指标及操作运行情况。</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维护人员应围绕上述四个方面，逐点、逐台、逐项地进行检验，边检边进行记录，并排除发现的故障。具体要求如下：</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现场巡检：设备机房和和监控室每月至少巡检2次，现场点位每月至少巡检1 次，发现问题及时处理并做好巡检记录。</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2.对图像传输质量和效果，传输网络、服务器、交换机、存储运行进行轮询远程巡检。       </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3.每月对摄像机的安全进行现场检查并提交检查记录，重点检查支架的安装牢固程度，防止发生高空坠落等安全事故。</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    第四条、故障响应 </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针对监控产生的故障，乙方应制定详细的运行维护服务保障方案，及时受理甲方故障报表、电话报修。</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故障级别定义及解决时间要求如下：</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2"/>
        <w:gridCol w:w="1373"/>
        <w:gridCol w:w="1437"/>
        <w:gridCol w:w="1424"/>
        <w:gridCol w:w="1050"/>
      </w:tblGrid>
      <w:tr>
        <w:trPr>
          <w:jc w:val="center"/>
          <w:trHeight w:val="707"/>
        </w:trPr>
        <w:tc>
          <w:tcPr>
            <w:tcW w:w="2272"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故障级别</w:t>
            </w:r>
            <w:r/>
          </w:p>
        </w:tc>
        <w:tc>
          <w:tcPr>
            <w:tcW w:w="1373"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技术人员</w:t>
            </w:r>
            <w:r/>
          </w:p>
          <w:p>
            <w:pPr>
              <w:spacing w:line="360" w:lineRule="auto"/>
              <w:rPr>
                <w:rFonts w:ascii="Times New Roman" w:hAnsi="Times New Roman"/>
                <w:sz w:val="24"/>
                <w:highlight w:val="none"/>
              </w:rPr>
            </w:pPr>
            <w:r>
              <w:rPr>
                <w:rFonts w:hint="eastAsia" w:ascii="Times New Roman" w:hAnsi="Times New Roman"/>
                <w:sz w:val="24"/>
                <w:highlight w:val="none"/>
              </w:rPr>
              <w:t xml:space="preserve">到场时间</w:t>
            </w:r>
            <w:r/>
          </w:p>
        </w:tc>
        <w:tc>
          <w:tcPr>
            <w:tcW w:w="1437"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提出解决方案</w:t>
            </w:r>
            <w:r/>
          </w:p>
        </w:tc>
        <w:tc>
          <w:tcPr>
            <w:tcW w:w="1424"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备件到场时间</w:t>
            </w:r>
            <w:r/>
          </w:p>
        </w:tc>
        <w:tc>
          <w:tcPr>
            <w:tcW w:w="1050"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解决时间</w:t>
            </w:r>
            <w:r/>
          </w:p>
        </w:tc>
      </w:tr>
      <w:tr>
        <w:trPr>
          <w:jc w:val="center"/>
          <w:trHeight w:val="1055"/>
        </w:trPr>
        <w:tc>
          <w:tcPr>
            <w:tcW w:w="2272"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Ⅰ级：属于重特大故障：其具体现象为：系统崩溃。</w:t>
            </w:r>
            <w:r/>
          </w:p>
        </w:tc>
        <w:tc>
          <w:tcPr>
            <w:tcW w:w="1373"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接报60分钟以内到现场</w:t>
            </w:r>
            <w:r/>
          </w:p>
        </w:tc>
        <w:tc>
          <w:tcPr>
            <w:tcW w:w="1437"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到现场后1小时内提交故障解决方案</w:t>
            </w:r>
            <w:r/>
          </w:p>
        </w:tc>
        <w:tc>
          <w:tcPr>
            <w:tcW w:w="1424"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提出解决方案后2小时到现场</w:t>
            </w:r>
            <w:r/>
          </w:p>
        </w:tc>
        <w:tc>
          <w:tcPr>
            <w:tcW w:w="1050"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接报8小时以内</w:t>
            </w:r>
            <w:r/>
          </w:p>
        </w:tc>
      </w:tr>
      <w:tr>
        <w:trPr>
          <w:jc w:val="center"/>
          <w:trHeight w:val="1404"/>
        </w:trPr>
        <w:tc>
          <w:tcPr>
            <w:tcW w:w="2272"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Ⅱ级：属于严重问题：其具体现象为：县局部分系统发生故障、或小面积瘫痪但不影像系统整体运行。</w:t>
            </w:r>
            <w:r/>
          </w:p>
        </w:tc>
        <w:tc>
          <w:tcPr>
            <w:tcW w:w="1373"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接报120分钟以内到现场</w:t>
            </w:r>
            <w:r/>
          </w:p>
        </w:tc>
        <w:tc>
          <w:tcPr>
            <w:tcW w:w="1437"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到现场后1小时内提交故障解决方案</w:t>
            </w:r>
            <w:r/>
          </w:p>
        </w:tc>
        <w:tc>
          <w:tcPr>
            <w:tcW w:w="1424"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提出解决方案后2小时到现场</w:t>
            </w:r>
            <w:r/>
          </w:p>
        </w:tc>
        <w:tc>
          <w:tcPr>
            <w:tcW w:w="1050"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接报12小时以内</w:t>
            </w:r>
            <w:r/>
          </w:p>
        </w:tc>
      </w:tr>
      <w:tr>
        <w:trPr>
          <w:jc w:val="center"/>
          <w:trHeight w:val="1413"/>
        </w:trPr>
        <w:tc>
          <w:tcPr>
            <w:tcW w:w="2272"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Ⅲ级：属于普通问题：其具体现象为：前端监控点单个摄像机故障、前端监控点传输设备或线路故障。</w:t>
            </w:r>
            <w:r/>
          </w:p>
        </w:tc>
        <w:tc>
          <w:tcPr>
            <w:tcW w:w="1373"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接报120分钟内到现场</w:t>
            </w:r>
            <w:r/>
          </w:p>
        </w:tc>
        <w:tc>
          <w:tcPr>
            <w:tcW w:w="1437"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即时提交或到现场后1小时内提交解决方案</w:t>
            </w:r>
            <w:r/>
          </w:p>
        </w:tc>
        <w:tc>
          <w:tcPr>
            <w:tcW w:w="1424"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视情况而定</w:t>
            </w:r>
            <w:r/>
          </w:p>
        </w:tc>
        <w:tc>
          <w:tcPr>
            <w:tcW w:w="1050" w:type="dxa"/>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接报24小时以内</w:t>
            </w:r>
            <w:r/>
          </w:p>
        </w:tc>
      </w:tr>
    </w:tbl>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故障级别定义及解决时间要求只是滨海县公安局对维护的基本要求，乙方不得以任何理由拒绝解决故障和拖延时间；Ⅰ级、Ⅱ级、Ⅲ级任何级别故障连续下发二次及以上的《维修通知单》（附件2），乙方拒绝响应或无法解决滨海县公安局有权解除合同并拒绝支付后续费用。</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应及时提供系统核心部分及主要设备发生故障时的应急处理方案，并保证对故障设备的及时维修和更换；应制定光纤网络传输故障时的应急处理方案，保证光纤网络及时恢复正常传输；如果设备停产，应根据备品备件考核要求及时提供相同性能或者性能更优的替代品，并保证不同时期提供的同类产品兼容。乙方应在甲方建立主要设备备品备件库。</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第五条、考核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由甲方确定考核标准，每月定期对乙方运维情况进行考核评分(百分比均保留后两位小数)。考核按照日清、月考核、季度结算的方式进行，不重复考核。具体考核内容如下：</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1.前端摄像机完好率考核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2.图像画面字符叠加标注考核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3.网络传输考核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4.存储考核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5.系统后台考核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6.数据维护考核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7.运维保障响应考核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8.其他情况扣分</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9.考核评分结算</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每月对1-8项进行考核统计评分，满分100分。</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根据每月考核统计评分情况计算每月应付考核维护费：</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(1)月考核统计评分≥95分，当月考核进度款=(年进度款/12)；</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(2)60分≤月考核统计评分＜95分，当月考核进度款=(月考核统计评分/100)×(年进度款/12)；</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(3）月考核统计评分＜60分，当月考核进度款=50%×(月考核统计评分/100)×(年进度款/12)。</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(4）乙方在每月运维巡检中未能发现相应问题，被项目牵头建设单位发现一起当月考核统计评分扣2分，如被上级部门考核通报的，加倍扣分。</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(5）甲方各类大型活动、重大案事件保障工作中不能正常调取图像(无图像、云台及镜头不能控制、图像不清晰、无存储等)的,根据情形严重程度扣除相应考核分(市局认可的客观原因除外)。</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连续2个月考核统计评分低于60分的或连续3个月考核统计评分低于80分的，甲方有权终止合同并拒付项目后续费用。年终考核全年平均分低于80分的，纳入滨海县公安局视频图像类建设及维护黑名单，3年内不得参与滨海县公安局全局范围内科技信息化类项目投标。</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注:具体考核内容与标准在与中标单位签订的合同中附详细考核细则。</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六、资料上报</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乙方负责将系统内监控平台IP地址、帐号密码以及摄像机管线图、接电图、点位图、IP等资料收集汇总上报滨海县公安局运维监管中心。</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lang w:val="zh-CN"/>
        </w:rPr>
        <w:t xml:space="preserve">七、安全施工</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1.乙方应遵守建设安全生产有关管理规定并负责本工程全过程中的安全管理工作，严格按照安全标准组织施工采取必要的安全防护措施。如发生安全事故，由乙方全权承担所有责任！</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2.乙方应按照国家规定与运维人员签订劳动合同，购买相应保险，如在运维过程中发生安全事故，运维人员出现伤、病、残等情况，均由乙方负责。</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lang w:val="zh-CN"/>
        </w:rPr>
        <w:t xml:space="preserve">八、争议</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1.双方在履行合同中产生的任何争议，应通过友好协商解决。如协商不成，双方约定将纠纷提交甲方所在地人民法院起诉；</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2.合同在执行过程中出现的未尽事宜，双方在不违背本合同的原则下，协商解决，协商结果以书面形式盖章记录在案，作为本合同的附件，与本合同具有同等效力。</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rPr>
        <w:t xml:space="preserve">九</w:t>
      </w:r>
      <w:r>
        <w:rPr>
          <w:rFonts w:hint="eastAsia" w:ascii="Times New Roman" w:hAnsi="Times New Roman"/>
          <w:sz w:val="24"/>
          <w:highlight w:val="none"/>
          <w:lang w:val="zh-CN"/>
        </w:rPr>
        <w:t xml:space="preserve">、不可抗力</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zh-CN"/>
        </w:rPr>
        <w:t xml:space="preserve">双方关于不可抗力的约定：</w:t>
      </w:r>
      <w:r>
        <w:rPr>
          <w:rFonts w:hint="eastAsia" w:ascii="Times New Roman" w:hAnsi="Times New Roman"/>
          <w:sz w:val="24"/>
          <w:highlight w:val="none"/>
        </w:rPr>
        <w:t xml:space="preserve">根据《中华人民共和国民法典》及其他有关法律、行政法规执行。</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lang w:val="zh-CN"/>
        </w:rPr>
        <w:t xml:space="preserve">十、补充条款：</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rPr>
        <w:t xml:space="preserve">1.</w:t>
      </w:r>
      <w:r>
        <w:rPr>
          <w:rFonts w:hint="eastAsia" w:ascii="Times New Roman" w:hAnsi="Times New Roman"/>
          <w:sz w:val="24"/>
          <w:highlight w:val="none"/>
          <w:lang w:val="zh-CN"/>
        </w:rPr>
        <w:t xml:space="preserve">合同履行过程中如有异议</w:t>
      </w:r>
      <w:r>
        <w:rPr>
          <w:rFonts w:hint="eastAsia" w:ascii="Times New Roman" w:hAnsi="Times New Roman"/>
          <w:sz w:val="24"/>
          <w:highlight w:val="none"/>
        </w:rPr>
        <w:t xml:space="preserve">,</w:t>
      </w:r>
      <w:r>
        <w:rPr>
          <w:rFonts w:hint="eastAsia" w:ascii="Times New Roman" w:hAnsi="Times New Roman"/>
          <w:sz w:val="24"/>
          <w:highlight w:val="none"/>
          <w:lang w:val="zh-CN"/>
        </w:rPr>
        <w:t xml:space="preserve">双方可另行签订补充协议。</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rPr>
        <w:t xml:space="preserve">2.</w:t>
      </w:r>
      <w:r>
        <w:rPr>
          <w:rFonts w:hint="eastAsia" w:ascii="Times New Roman" w:hAnsi="Times New Roman"/>
          <w:sz w:val="24"/>
          <w:highlight w:val="none"/>
          <w:lang w:val="zh-CN"/>
        </w:rPr>
        <w:t xml:space="preserve">合同条款如与补充协议书有出入之处一律以后者为准。</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本合同双方约定甲方、乙方签字、盖章后生效。</w:t>
      </w:r>
      <w:r/>
    </w:p>
    <w:p>
      <w:pPr>
        <w:ind w:firstLine="480"/>
        <w:spacing w:line="360" w:lineRule="auto"/>
        <w:rPr>
          <w:rFonts w:ascii="Times New Roman" w:hAnsi="Times New Roman"/>
          <w:sz w:val="24"/>
          <w:highlight w:val="none"/>
          <w:lang w:val="zh-CN"/>
        </w:rPr>
      </w:pPr>
      <w:r>
        <w:rPr>
          <w:rFonts w:hint="eastAsia" w:ascii="Times New Roman" w:hAnsi="Times New Roman"/>
          <w:sz w:val="24"/>
          <w:highlight w:val="none"/>
          <w:lang w:val="zh-CN"/>
        </w:rPr>
        <w:t xml:space="preserve">十</w:t>
      </w:r>
      <w:r>
        <w:rPr>
          <w:rFonts w:hint="eastAsia" w:ascii="Times New Roman" w:hAnsi="Times New Roman"/>
          <w:sz w:val="24"/>
          <w:highlight w:val="none"/>
        </w:rPr>
        <w:t xml:space="preserve">一</w:t>
      </w:r>
      <w:r>
        <w:rPr>
          <w:rFonts w:hint="eastAsia" w:ascii="Times New Roman" w:hAnsi="Times New Roman"/>
          <w:sz w:val="24"/>
          <w:highlight w:val="none"/>
          <w:lang w:val="zh-CN"/>
        </w:rPr>
        <w:t xml:space="preserve">、其他约定：</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zh-CN"/>
        </w:rPr>
        <w:t xml:space="preserve">1.乙方维修人员应严格遵守公安机关出入管理规定，执政上岗，凭证件出入监控室、设备机房。在维护工作中，必须遵守保密规定，签订保密承诺书，对工作中接触的需保密内容应严格保密，不得外泄甲方图像资料、建设规划、技术设计方案、监控点分布等资料。</w:t>
      </w:r>
      <w:r/>
    </w:p>
    <w:p>
      <w:pPr>
        <w:ind w:firstLine="480"/>
        <w:spacing w:line="360" w:lineRule="auto"/>
        <w:rPr>
          <w:rFonts w:ascii="黑体" w:eastAsia="黑体"/>
          <w:bCs/>
          <w:color w:val="000000"/>
          <w:sz w:val="44"/>
          <w:highlight w:val="none"/>
        </w:rPr>
      </w:pPr>
      <w:r>
        <w:rPr>
          <w:rFonts w:hint="eastAsia" w:ascii="Times New Roman" w:hAnsi="Times New Roman"/>
          <w:sz w:val="24"/>
          <w:highlight w:val="none"/>
          <w:lang w:val="zh-CN"/>
        </w:rPr>
        <w:t xml:space="preserve">2.乙方应提供7×24小时故障申告和技术服务电话，提供项目运行维护服务保障。</w:t>
      </w:r>
      <w:r/>
    </w:p>
    <w:p>
      <w:pPr>
        <w:rPr>
          <w:rFonts w:hint="eastAsia" w:ascii="楷体_GB2312" w:hAnsi="宋体" w:eastAsia="楷体_GB2312"/>
          <w:b/>
          <w:sz w:val="30"/>
          <w:szCs w:val="30"/>
          <w:highlight w:val="none"/>
        </w:rPr>
      </w:pPr>
      <w:r>
        <w:rPr>
          <w:rFonts w:hint="eastAsia" w:ascii="楷体_GB2312" w:hAnsi="宋体" w:eastAsia="楷体_GB2312"/>
          <w:b/>
          <w:sz w:val="30"/>
          <w:szCs w:val="30"/>
          <w:highlight w:val="none"/>
        </w:rPr>
      </w:r>
      <w:r/>
    </w:p>
    <w:p>
      <w:pPr>
        <w:pStyle w:val="924"/>
        <w:ind w:firstLine="420"/>
        <w:jc w:val="left"/>
        <w:spacing w:line="360" w:lineRule="auto"/>
        <w:rPr>
          <w:rFonts w:hint="eastAsia" w:hAnsi="宋体" w:cs="宋体"/>
          <w:sz w:val="24"/>
          <w:szCs w:val="24"/>
          <w:highlight w:val="none"/>
        </w:rPr>
      </w:pPr>
      <w:r>
        <w:rPr>
          <w:rFonts w:hint="eastAsia" w:hAnsi="宋体" w:cs="宋体"/>
          <w:sz w:val="24"/>
          <w:szCs w:val="24"/>
          <w:highlight w:val="none"/>
        </w:rPr>
      </w:r>
      <w:r/>
    </w:p>
    <w:p>
      <w:pPr>
        <w:pStyle w:val="929"/>
        <w:jc w:val="center"/>
        <w:spacing w:before="120" w:beforeAutospacing="0" w:after="120" w:afterAutospacing="0" w:line="0" w:lineRule="atLeast"/>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929"/>
        <w:jc w:val="center"/>
        <w:spacing w:before="120" w:beforeAutospacing="0" w:after="120" w:afterAutospacing="0" w:line="0" w:lineRule="atLeast"/>
        <w:rPr>
          <w:rFonts w:hint="eastAsia" w:ascii="黑体" w:hAnsi="宋体" w:eastAsia="黑体" w:cs="黑体"/>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highlight w:val="none"/>
        </w:rPr>
      </w:r>
      <w:r/>
    </w:p>
    <w:p>
      <w:pPr>
        <w:pStyle w:val="929"/>
        <w:jc w:val="center"/>
        <w:spacing w:before="120" w:beforeAutospacing="0" w:after="120" w:afterAutospacing="0" w:line="0" w:lineRule="atLeast"/>
        <w:rPr>
          <w:highlight w:val="none"/>
        </w:rPr>
      </w:pPr>
      <w:r>
        <w:rPr>
          <w:rFonts w:hint="eastAsia" w:ascii="黑体" w:hAnsi="宋体" w:eastAsia="黑体" w:cs="黑体"/>
          <w:sz w:val="44"/>
          <w:szCs w:val="44"/>
          <w:highlight w:val="none"/>
        </w:rPr>
        <w:t xml:space="preserve">第</w:t>
      </w:r>
      <w:bookmarkEnd w:id="153"/>
      <w:r>
        <w:rPr>
          <w:rFonts w:hint="eastAsia" w:ascii="黑体" w:hAnsi="宋体" w:eastAsia="黑体" w:cs="黑体"/>
          <w:sz w:val="44"/>
          <w:szCs w:val="44"/>
          <w:highlight w:val="none"/>
        </w:rPr>
        <w:t xml:space="preserve">四章 采购需求</w:t>
      </w:r>
      <w:bookmarkEnd w:id="154"/>
      <w:r/>
      <w:bookmarkEnd w:id="155"/>
      <w:r/>
      <w:bookmarkEnd w:id="156"/>
      <w:r/>
      <w:bookmarkEnd w:id="157"/>
      <w:r/>
      <w:bookmarkEnd w:id="158"/>
      <w:r/>
      <w:r/>
    </w:p>
    <w:p>
      <w:pPr>
        <w:pStyle w:val="929"/>
        <w:jc w:val="both"/>
        <w:spacing w:beforeAutospacing="0" w:afterAutospacing="0" w:line="360" w:lineRule="auto"/>
        <w:rPr>
          <w:rFonts w:hint="eastAsia" w:ascii="宋体" w:hAnsi="宋体" w:cs="宋体"/>
          <w:highlight w:val="none"/>
        </w:rPr>
      </w:pPr>
      <w:r/>
      <w:bookmarkStart w:id="167" w:name="_Toc49090575"/>
      <w:r/>
      <w:bookmarkStart w:id="168" w:name="_Toc26554093"/>
      <w:r>
        <w:rPr>
          <w:rFonts w:hint="eastAsia" w:ascii="宋体" w:hAnsi="宋体" w:cs="宋体"/>
          <w:highlight w:val="none"/>
        </w:rPr>
        <w:t xml:space="preserve">项目属性:货物类项目。</w:t>
      </w:r>
      <w:bookmarkEnd w:id="167"/>
      <w:r/>
      <w:bookmarkEnd w:id="168"/>
      <w:r>
        <w:rPr>
          <w:rFonts w:hint="eastAsia" w:ascii="宋体" w:hAnsi="宋体" w:cs="宋体"/>
          <w:highlight w:val="none"/>
        </w:rPr>
        <w:t xml:space="preserve"> </w:t>
      </w:r>
      <w:r/>
    </w:p>
    <w:p>
      <w:pPr>
        <w:pStyle w:val="778"/>
        <w:numPr>
          <w:ilvl w:val="0"/>
          <w:numId w:val="7"/>
        </w:numPr>
        <w:jc w:val="left"/>
        <w:spacing w:line="360" w:lineRule="auto"/>
        <w:widowControl/>
        <w:rPr>
          <w:rFonts w:hint="eastAsia" w:asciiTheme="minorEastAsia" w:hAnsiTheme="minorEastAsia" w:eastAsiaTheme="minorEastAsia"/>
          <w:b/>
          <w:bCs/>
          <w:color w:val="000000"/>
          <w:sz w:val="24"/>
          <w:highlight w:val="none"/>
        </w:rPr>
      </w:pPr>
      <w:r>
        <w:rPr>
          <w:rFonts w:hint="eastAsia" w:asciiTheme="minorEastAsia" w:hAnsiTheme="minorEastAsia" w:eastAsiaTheme="minorEastAsia"/>
          <w:b/>
          <w:bCs/>
          <w:color w:val="000000"/>
          <w:sz w:val="24"/>
          <w:highlight w:val="none"/>
        </w:rPr>
        <w:t xml:space="preserve">项目概况</w:t>
      </w:r>
      <w:r/>
    </w:p>
    <w:p>
      <w:pPr>
        <w:ind w:firstLine="480"/>
        <w:jc w:val="left"/>
        <w:spacing w:line="360" w:lineRule="auto"/>
        <w:widowControl/>
        <w:rPr>
          <w:rFonts w:hint="eastAsia" w:asciiTheme="minorEastAsia" w:hAnsiTheme="minorEastAsia" w:eastAsiaTheme="minorEastAsia"/>
          <w:b w:val="0"/>
          <w:bCs w:val="0"/>
          <w:color w:val="000000"/>
          <w:sz w:val="24"/>
          <w:highlight w:val="none"/>
          <w:lang w:eastAsia="zh-CN"/>
        </w:rPr>
      </w:pPr>
      <w:r>
        <w:rPr>
          <w:rFonts w:hint="eastAsia" w:asciiTheme="minorEastAsia" w:hAnsiTheme="minorEastAsia" w:eastAsiaTheme="minorEastAsia"/>
          <w:b w:val="0"/>
          <w:bCs w:val="0"/>
          <w:color w:val="000000"/>
          <w:sz w:val="24"/>
          <w:highlight w:val="none"/>
        </w:rPr>
        <w:t xml:space="preserve">针对我县当前道路交通安全面临的形势和工作实际情况，充分考虑县域道路状况、事故易发路段、事故“减量控大”等因素，聚焦于安全为先、问题导向、效率为本、科技赋能等方面，围绕精准化违法管控、立体化安全防控、突发情况应急防范与服务、全面支撑基础设施保障四大体系对道路交通安全进行提升</w:t>
      </w:r>
      <w:r>
        <w:rPr>
          <w:rFonts w:hint="eastAsia" w:asciiTheme="minorEastAsia" w:hAnsiTheme="minorEastAsia" w:eastAsiaTheme="minorEastAsia"/>
          <w:b w:val="0"/>
          <w:bCs w:val="0"/>
          <w:color w:val="000000"/>
          <w:sz w:val="24"/>
          <w:highlight w:val="none"/>
          <w:lang w:eastAsia="zh-CN"/>
        </w:rPr>
        <w:t xml:space="preserve">。</w:t>
      </w:r>
      <w:r/>
    </w:p>
    <w:p>
      <w:pPr>
        <w:pStyle w:val="778"/>
        <w:numPr>
          <w:ilvl w:val="0"/>
          <w:numId w:val="7"/>
        </w:numPr>
        <w:jc w:val="left"/>
        <w:spacing w:line="360" w:lineRule="auto"/>
        <w:widowControl/>
        <w:rPr>
          <w:rFonts w:hint="eastAsia" w:asciiTheme="minorEastAsia" w:hAnsiTheme="minorEastAsia" w:eastAsiaTheme="minorEastAsia"/>
          <w:b/>
          <w:bCs/>
          <w:color w:val="000000"/>
          <w:sz w:val="24"/>
          <w:highlight w:val="none"/>
        </w:rPr>
      </w:pPr>
      <w:r>
        <w:rPr>
          <w:rFonts w:hint="eastAsia" w:asciiTheme="minorEastAsia" w:hAnsiTheme="minorEastAsia" w:eastAsiaTheme="minorEastAsia"/>
          <w:b/>
          <w:bCs/>
          <w:color w:val="000000"/>
          <w:sz w:val="24"/>
          <w:highlight w:val="none"/>
        </w:rPr>
        <w:t xml:space="preserve">主要建设内容</w:t>
      </w:r>
      <w:r/>
    </w:p>
    <w:p>
      <w:pPr>
        <w:ind w:firstLine="480"/>
        <w:spacing w:line="360" w:lineRule="auto"/>
        <w:rPr>
          <w:rFonts w:hint="eastAsia"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本项目规划为12个业务子系统，包括：货车未靠右行驶抓拍前端建设、违停抓拍前端感知建设、非机动车违法抓拍前端感知建设、高速出入口卡口建设抓拍前端设备、国道鹰巢无人机建设、哨兵系统建设、防疲劳安全驾驶设备、交通信号诱导发布屏、交通信号辅助灯带、中心扩容、智慧岗亭建设、其他基础设施，详见采购清单。</w:t>
      </w:r>
      <w:r/>
    </w:p>
    <w:p>
      <w:pPr>
        <w:pStyle w:val="778"/>
        <w:numPr>
          <w:ilvl w:val="0"/>
          <w:numId w:val="7"/>
        </w:numPr>
        <w:spacing w:line="360" w:lineRule="auto"/>
        <w:rPr>
          <w:rFonts w:hint="eastAsia" w:asciiTheme="minorEastAsia" w:hAnsiTheme="minorEastAsia" w:eastAsiaTheme="minorEastAsia"/>
          <w:b/>
          <w:bCs/>
          <w:color w:val="000000"/>
          <w:sz w:val="24"/>
          <w:highlight w:val="none"/>
        </w:rPr>
      </w:pPr>
      <w:r>
        <w:rPr>
          <w:rFonts w:hint="eastAsia" w:asciiTheme="minorEastAsia" w:hAnsiTheme="minorEastAsia" w:eastAsiaTheme="minorEastAsia"/>
          <w:b/>
          <w:bCs/>
          <w:color w:val="000000"/>
          <w:sz w:val="24"/>
          <w:highlight w:val="none"/>
        </w:rPr>
        <w:t xml:space="preserve">采购清单</w:t>
      </w:r>
      <w:r/>
    </w:p>
    <w:tbl>
      <w:tblPr>
        <w:tblStyle w:val="742"/>
        <w:tblW w:w="1008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88"/>
        <w:gridCol w:w="1105"/>
        <w:gridCol w:w="6691"/>
        <w:gridCol w:w="616"/>
        <w:gridCol w:w="848"/>
      </w:tblGrid>
      <w:tr>
        <w:trPr>
          <w:trHeight w:val="1002"/>
        </w:trPr>
        <w:tc>
          <w:tcPr>
            <w:tcW w:w="73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W w:w="1193"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6691"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项目特征描述</w:t>
            </w:r>
            <w:r/>
          </w:p>
        </w:tc>
        <w:tc>
          <w:tcPr>
            <w:tcW w:w="61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W w:w="848"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一、货车占道</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车辆行驶融合抓拍单元</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1、采用不小于1.1英寸GS-CMOS图像传感器，内置高算力芯片和毫米波雷达；</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2、支持最大输出4096×2336@50fps高清图像；</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3、雷达最大支持256个目标轨迹跟踪，机动车检测距离可达350米；</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4、支持融合高精度毫米波雷达与深度学习相机单元，支持视频和雷达融合界面支持不同比例尺展示；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5、支持对机动车、非机动车、行人等混合目标进行检测。设备能同时检测不少于130个混合的静态目标并对这些目标进行绿框跟踪：可同时对至少130个混合的静态目标进行优选、抓拍及属性分析；</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6、支持目标跟踪功能，视频预览画面内可叠加车辆跟踪框，实时显示每个目标的运行情况，包含车牌号码、速度、车型、位置坐标等；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7、支持车牌、车型、车标、车系、车身颜色等机动车属性全结构化识别；</w:t>
            </w:r>
            <w:r/>
          </w:p>
          <w:p>
            <w:pPr>
              <w:jc w:val="left"/>
              <w:widowControl/>
              <w:rPr>
                <w:rFonts w:hint="eastAsia" w:ascii="宋体" w:hAnsi="宋体" w:eastAsia="宋体" w:cs="宋体"/>
                <w:color w:val="ee0000"/>
                <w:sz w:val="21"/>
                <w:szCs w:val="21"/>
              </w:rPr>
            </w:pPr>
            <w:r>
              <w:rPr>
                <w:rFonts w:hint="eastAsia" w:ascii="宋体" w:hAnsi="宋体" w:eastAsia="宋体" w:cs="宋体"/>
                <w:sz w:val="21"/>
                <w:szCs w:val="21"/>
              </w:rPr>
              <w:t xml:space="preserve">8、支持通过不同颜色智能帧在图像实时展示及跟踪机动车/非机动车/行人目标，支持多线圈断面流量检测；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支持逆行、违法停车、交通拥堵、区域入侵、行人事件、施工、路障、超速、低速、飙车、压线、违法变道、未与前车保持安全距离、事故、加塞、火焰、烟雾、抛洒物、蛇形变道、连续变道、右侧超车、大车占道、未与前车保持安全距离、道路安全预警、斑马线不礼让、大车右转不停车、斑马线未减速等事件检测；</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支持路口等待区域、斑马线区域的行人/非机动车流量检测，区域范围可设置，支持特殊车牌表达模式定义，可根据车辆类型/车牌层数等进行号牌示例匹配，并结合视频识别结果进行车牌输出；设备支持大/小流量场景实时结构化信息统计，记录时间和周期可设置，并可将结构化数据通过Excel表格导出；</w:t>
            </w:r>
            <w:r>
              <w:rPr>
                <w:rFonts w:hint="eastAsia" w:ascii="宋体" w:hAnsi="宋体" w:eastAsia="宋体" w:cs="宋体"/>
                <w:b/>
                <w:bCs/>
                <w:sz w:val="21"/>
                <w:szCs w:val="21"/>
              </w:rPr>
              <w:t xml:space="preserve"> </w:t>
            </w:r>
            <w:r>
              <w:rPr>
                <w:rFonts w:hint="eastAsia" w:ascii="宋体" w:hAnsi="宋体" w:eastAsia="宋体" w:cs="宋体"/>
                <w:b/>
                <w:bCs/>
                <w:color w:val="ee0000"/>
                <w:sz w:val="21"/>
                <w:szCs w:val="21"/>
              </w:rPr>
              <w:t xml:space="preserve">（投标时提供有效的公安部检测报告扫描件）</w:t>
            </w:r>
            <w:r>
              <w:rPr>
                <w:rFonts w:hint="eastAsia" w:ascii="宋体" w:hAnsi="宋体" w:eastAsia="宋体" w:cs="宋体"/>
                <w:sz w:val="21"/>
                <w:szCs w:val="21"/>
              </w:rPr>
              <w:t xml:space="preserve">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11、支持目标ID，车速，车牌，车身颜色，车型，XY坐标，经纬度坐标，航向角等结构化信息输出；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12、支持车辆长距离变道检测抓拍功能；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13、支持车辆流量、平均速度、占有率、平均车头时距、平均排队长度、道路状态等交通信息采集；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全息智能终端</w:t>
            </w:r>
            <w:r/>
          </w:p>
        </w:tc>
        <w:tc>
          <w:tcPr>
            <w:tcW w:w="6691" w:type="dxa"/>
            <w:vAlign w:val="center"/>
            <w:textDirection w:val="lrTb"/>
            <w:noWrap/>
          </w:tcPr>
          <w:p>
            <w:pPr>
              <w:widowControl/>
              <w:rPr>
                <w:rFonts w:hint="eastAsia" w:ascii="宋体" w:hAnsi="宋体" w:eastAsia="宋体" w:cs="宋体"/>
                <w:sz w:val="21"/>
                <w:szCs w:val="21"/>
              </w:rPr>
            </w:pPr>
            <w:r>
              <w:rPr>
                <w:rFonts w:hint="eastAsia" w:ascii="宋体" w:hAnsi="宋体" w:eastAsia="宋体" w:cs="宋体"/>
                <w:sz w:val="21"/>
                <w:szCs w:val="21"/>
              </w:rPr>
              <w:t xml:space="preserve">1、全息接力终端是具有交通数据整合功能的边缘计算产品</w:t>
            </w:r>
            <w:r/>
          </w:p>
          <w:p>
            <w:pPr>
              <w:widowControl/>
              <w:rPr>
                <w:rFonts w:hint="eastAsia" w:ascii="宋体" w:hAnsi="宋体" w:eastAsia="宋体" w:cs="宋体"/>
                <w:sz w:val="21"/>
                <w:szCs w:val="21"/>
              </w:rPr>
            </w:pPr>
            <w:r>
              <w:rPr>
                <w:rFonts w:hint="eastAsia" w:ascii="宋体" w:hAnsi="宋体" w:eastAsia="宋体" w:cs="宋体"/>
                <w:sz w:val="21"/>
                <w:szCs w:val="21"/>
              </w:rPr>
              <w:t xml:space="preserve">2、支持输出包括交通流量、交通事件、违法事件等;</w:t>
            </w:r>
            <w:r/>
          </w:p>
          <w:p>
            <w:pPr>
              <w:widowControl/>
              <w:rPr>
                <w:rFonts w:hint="eastAsia" w:ascii="宋体" w:hAnsi="宋体" w:eastAsia="宋体" w:cs="宋体"/>
                <w:sz w:val="21"/>
                <w:szCs w:val="21"/>
              </w:rPr>
            </w:pPr>
            <w:r>
              <w:rPr>
                <w:rFonts w:hint="eastAsia" w:ascii="宋体" w:hAnsi="宋体" w:eastAsia="宋体" w:cs="宋体"/>
                <w:sz w:val="21"/>
                <w:szCs w:val="21"/>
              </w:rPr>
              <w:t xml:space="preserve">3、可接入不少于8路融合抓拍单元，并完成感知数据融合;</w:t>
            </w:r>
            <w:r/>
          </w:p>
          <w:p>
            <w:pPr>
              <w:widowControl/>
              <w:rPr>
                <w:rFonts w:hint="eastAsia" w:ascii="宋体" w:hAnsi="宋体" w:eastAsia="宋体" w:cs="宋体"/>
                <w:sz w:val="21"/>
                <w:szCs w:val="21"/>
              </w:rPr>
            </w:pPr>
            <w:r>
              <w:rPr>
                <w:rFonts w:hint="eastAsia" w:ascii="宋体" w:hAnsi="宋体" w:eastAsia="宋体" w:cs="宋体"/>
                <w:sz w:val="21"/>
                <w:szCs w:val="21"/>
              </w:rPr>
              <w:t xml:space="preserve">4、支持智能结构化信息(如车牌、车色、车型等)输出和可视化;</w:t>
            </w:r>
            <w:r/>
          </w:p>
          <w:p>
            <w:pPr>
              <w:widowControl/>
              <w:rPr>
                <w:rFonts w:hint="eastAsia" w:ascii="宋体" w:hAnsi="宋体" w:eastAsia="宋体" w:cs="宋体"/>
                <w:sz w:val="21"/>
                <w:szCs w:val="21"/>
              </w:rPr>
            </w:pPr>
            <w:r>
              <w:rPr>
                <w:rFonts w:hint="eastAsia" w:ascii="宋体" w:hAnsi="宋体" w:eastAsia="宋体" w:cs="宋体"/>
                <w:sz w:val="21"/>
                <w:szCs w:val="21"/>
              </w:rPr>
              <w:t xml:space="preserve">5、主处理器:</w:t>
            </w:r>
            <w:bookmarkStart w:id="169" w:name="OLE_LINK3"/>
            <w:r>
              <w:rPr>
                <w:rFonts w:hint="eastAsia" w:ascii="宋体" w:hAnsi="宋体" w:eastAsia="宋体" w:cs="宋体"/>
                <w:sz w:val="21"/>
                <w:szCs w:val="21"/>
              </w:rPr>
              <w:t xml:space="preserve">不低于</w:t>
            </w:r>
            <w:bookmarkEnd w:id="169"/>
            <w:r>
              <w:rPr>
                <w:rFonts w:hint="eastAsia" w:ascii="宋体" w:hAnsi="宋体" w:eastAsia="宋体" w:cs="宋体"/>
                <w:sz w:val="21"/>
                <w:szCs w:val="21"/>
              </w:rPr>
              <w:t xml:space="preserve">6核ARM64-bitCPU</w:t>
            </w:r>
            <w:r/>
          </w:p>
          <w:p>
            <w:pPr>
              <w:widowControl/>
              <w:rPr>
                <w:rFonts w:hint="eastAsia" w:ascii="宋体" w:hAnsi="宋体" w:eastAsia="宋体" w:cs="宋体"/>
                <w:sz w:val="21"/>
                <w:szCs w:val="21"/>
              </w:rPr>
            </w:pPr>
            <w:r>
              <w:rPr>
                <w:rFonts w:hint="eastAsia" w:ascii="宋体" w:hAnsi="宋体" w:eastAsia="宋体" w:cs="宋体"/>
                <w:sz w:val="21"/>
                <w:szCs w:val="21"/>
              </w:rPr>
              <w:t xml:space="preserve">6、AI算力: 不少于21TOPS</w:t>
            </w:r>
            <w:r/>
          </w:p>
          <w:p>
            <w:pPr>
              <w:widowControl/>
              <w:rPr>
                <w:rFonts w:hint="eastAsia" w:ascii="宋体" w:hAnsi="宋体" w:eastAsia="宋体" w:cs="宋体"/>
                <w:sz w:val="21"/>
                <w:szCs w:val="21"/>
              </w:rPr>
            </w:pPr>
            <w:r>
              <w:rPr>
                <w:rFonts w:hint="eastAsia" w:ascii="宋体" w:hAnsi="宋体" w:eastAsia="宋体" w:cs="宋体"/>
                <w:sz w:val="21"/>
                <w:szCs w:val="21"/>
              </w:rPr>
              <w:t xml:space="preserve">7、内存: 不少于8GB</w:t>
            </w:r>
            <w:r/>
          </w:p>
          <w:p>
            <w:pPr>
              <w:widowControl/>
              <w:rPr>
                <w:rFonts w:hint="eastAsia" w:ascii="宋体" w:hAnsi="宋体" w:eastAsia="宋体" w:cs="宋体"/>
                <w:sz w:val="21"/>
                <w:szCs w:val="21"/>
              </w:rPr>
            </w:pPr>
            <w:r>
              <w:rPr>
                <w:rFonts w:hint="eastAsia" w:ascii="宋体" w:hAnsi="宋体" w:eastAsia="宋体" w:cs="宋体"/>
                <w:sz w:val="21"/>
                <w:szCs w:val="21"/>
              </w:rPr>
              <w:t xml:space="preserve">8、存储容量: </w:t>
            </w:r>
            <w:bookmarkStart w:id="170" w:name="OLE_LINK8"/>
            <w:r>
              <w:rPr>
                <w:rFonts w:hint="eastAsia" w:ascii="宋体" w:hAnsi="宋体" w:eastAsia="宋体" w:cs="宋体"/>
                <w:sz w:val="21"/>
                <w:szCs w:val="21"/>
              </w:rPr>
              <w:t xml:space="preserve">不少于</w:t>
            </w:r>
            <w:bookmarkEnd w:id="170"/>
            <w:r>
              <w:rPr>
                <w:rFonts w:hint="eastAsia" w:ascii="宋体" w:hAnsi="宋体" w:eastAsia="宋体" w:cs="宋体"/>
                <w:sz w:val="21"/>
                <w:szCs w:val="21"/>
              </w:rPr>
              <w:t xml:space="preserve">64GB EMMC+1TB SSD</w:t>
            </w:r>
            <w:r/>
          </w:p>
          <w:p>
            <w:pPr>
              <w:widowControl/>
              <w:rPr>
                <w:rFonts w:hint="eastAsia" w:ascii="宋体" w:hAnsi="宋体" w:eastAsia="宋体" w:cs="宋体"/>
                <w:sz w:val="21"/>
                <w:szCs w:val="21"/>
              </w:rPr>
            </w:pPr>
            <w:r>
              <w:rPr>
                <w:rFonts w:hint="eastAsia" w:ascii="宋体" w:hAnsi="宋体" w:eastAsia="宋体" w:cs="宋体"/>
                <w:sz w:val="21"/>
                <w:szCs w:val="21"/>
              </w:rPr>
              <w:t xml:space="preserve">9、交通事件:1.区域入侵;2.火焰检测;3.烟雾检测;4.逆行;5.超速;6.欠速;7.违法停车;8.违法变道;9.压黄线;10.交通拥堵;11.行人事件;12.交通抛洒物:13.交通事故;14.施工;15.路障:16.卡口;17.未与前车保持安全距离;18.飙车;19.占用应急车道;20.车辆排队加塞;21.连续变道;22.右侧超车;23.大车占道;24.车辆缓行;25.蛇形变道;26.排队溢出;27.排队超限;</w:t>
            </w:r>
            <w:r/>
          </w:p>
          <w:p>
            <w:pPr>
              <w:widowControl/>
              <w:rPr>
                <w:rFonts w:hint="eastAsia" w:ascii="宋体" w:hAnsi="宋体" w:eastAsia="宋体" w:cs="宋体"/>
                <w:sz w:val="21"/>
                <w:szCs w:val="21"/>
              </w:rPr>
            </w:pPr>
            <w:r>
              <w:rPr>
                <w:rFonts w:hint="eastAsia" w:ascii="宋体" w:hAnsi="宋体" w:eastAsia="宋体" w:cs="宋体"/>
                <w:sz w:val="21"/>
                <w:szCs w:val="21"/>
              </w:rPr>
              <w:t xml:space="preserve">▲10、支持导入录制的素材，进行某个车辆id的轨迹提取，提取包含车辆经纬度信息等轨迹信息文档。支持在客户端上录制全息车辆接力轨迹；录制方式支持按计划时间录制或立即录制，录制时长支持1-30分钟；录制前，支持选择录制文件的保存位置，录制完成后，提示当前文件保存位置。支持回放客户端录制的视频轨迹素材，支持两种回放模式(实时回放、平滑轨迹回放)。支持对摄像机视频、雷达采集的机动车行驶路线进行轨迹拟合，并在数字孪生地图中显示道路口的机动车行进过程，拟合输出的道路口机动车行驶轨迹准确率不低于96%。</w:t>
            </w:r>
            <w:r>
              <w:rPr>
                <w:rFonts w:hint="eastAsia" w:ascii="宋体" w:hAnsi="宋体" w:eastAsia="宋体" w:cs="宋体"/>
                <w:b/>
                <w:bCs/>
                <w:color w:val="ee0000"/>
                <w:sz w:val="21"/>
                <w:szCs w:val="21"/>
              </w:rPr>
              <w:t xml:space="preserve">（投标时提供有效的公安部检测报告扫描件）</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 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管道顶管敷设</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管道顶管敷设，含管道顶管敷设、线路敷设、垃圾外运、安全防护、路面(绿化)破坏及恢复等一切费用，埋深不低于700mm，详见图纸，满足设计及使用需求。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1064</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二、违停抓拍</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违停球机</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1、分辨率与帧率可设置为2688x1520@30fps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2、内置1颗8GB eMMC芯片、12颗补光灯、1颗GPU芯片，具有1个RJ45网络接口、1路音频输入、1路音频输出、7路报警输入、2路报警输出、1个RS485接口、1个调试串口、1个SD卡槽。采用DC36V供电。</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3、内置镜头，支持不小于32倍光学变倍，镜头最大焦距不小于192mm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4、自带雨刷,可通过网络远程控制雨刷功能检验雨刷开启、关闭</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5、▲具有VR全景图拼接功能，拼接图可选择柱状全景图和鱼眼全景图2种模式，生成的柱状全景图分辨率不低于8192x2446，鱼眼全景图分辨率不低于3458x3</w:t>
            </w:r>
            <w:r>
              <w:rPr>
                <w:rFonts w:hint="eastAsia" w:ascii="宋体" w:hAnsi="宋体" w:eastAsia="宋体" w:cs="宋体"/>
                <w:color w:val="auto"/>
                <w:sz w:val="21"/>
                <w:szCs w:val="21"/>
              </w:rPr>
              <w:t xml:space="preserve">458。具有VR展示功能，可在客户端软件展示生成的全景图和实时视频，全景</w:t>
            </w:r>
            <w:r>
              <w:rPr>
                <w:rFonts w:hint="eastAsia" w:ascii="宋体" w:hAnsi="宋体" w:eastAsia="宋体" w:cs="宋体"/>
                <w:sz w:val="21"/>
                <w:szCs w:val="21"/>
              </w:rPr>
              <w:t xml:space="preserve">图可与实时视频联动，可通过点击;全景图使实时画面转动至点击位置</w:t>
            </w:r>
            <w:r>
              <w:rPr>
                <w:rFonts w:hint="eastAsia" w:ascii="宋体" w:hAnsi="宋体" w:eastAsia="宋体" w:cs="宋体"/>
                <w:color w:val="ee0000"/>
                <w:sz w:val="21"/>
                <w:szCs w:val="21"/>
              </w:rPr>
              <w:t xml:space="preserve">。</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6、支持最低照度可达彩色0.0002Lx，黑白0.0001Lx</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水平旋转范围:0°~360°连续旋转，垂直旋转范围:-20°~90°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7、支持对距离设备200m处机动车违法停车行为进行抓拍</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可对机动车违停、逆行、压线、连续变道、机占非、掉头、蛇形变道、变道、加塞9种交通违法行为进行检测并抓拍，当触发报警后，可联动报警并上传图片</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8、支持抛洒物检测、行人检测、拥堵检测、路障检测、施工检测、交通事故检测、烟雾检测、火灾检测,当监控场景内道路事件触发报警后 </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9、▲设备可对抛洒物事件中的树影、标线进行过滤;可对停车事件中的施工车辆进行过滤;可对行人事件中的交通设施、车身部件、影子进行过滤，检测到违停车辆时,若目标车牌被遮挡物遮挡时,设备可不对该目标进行车牌识别,并上报无车牌报警。</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10、可在智能展示界面显示通过监视画面中的机动车子品牌标志,显示车尾子品牌标志不少于3117种;显示车头子品牌标志不少于7129种</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11、可识别92式民用车、左右军车、一行结构的新武警车、黄色双行尾牌、使馆车，民航车牌</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12、在配置违停检测时,具有布防车牌颜色(黄色车牌、蓝色车牌、绿色车牌和其他车牌)和布防车型(轿车、面包车、货车、客车和其他)配置选项</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13、开启车牌增强功能后，在检测到车辆违停时，可对目标车辆的车牌进行降噪处理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道路监控球机</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1、400万23倍网络红外球机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2、适用于交通道路，广场、公园、出入口、园区周界等场景</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3、设备支持人车检测信息叠加至码流，配合smart nvr配合实现文搜功能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4、采用高效补光阵列，红外补光150m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5、支持区域入侵侦测、越界侦测等智能侦测功能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6、支持最大2560×1440@30fps高清画面输出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7、内置加热玻璃，有效除雾</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8、支持双mic功能，拾音距离8 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9、传感器类型：1/2.8" Progressive Scan CMOS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10、最低照度：彩色：0.005Lux @ (F1.6，AGC ON)；黑白：0.001Lux @(F1.6，AGC ON) ；0 Lux with IR</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光学变倍：23倍 ，焦距：4.8-110.4mm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11、视场角：水平视场角：55°~2.7°（广角~望远）</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垂直视场角：33°~1.5°（广角~望远）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对角视场角：61.5°~3.1°（广角~望远）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12、补光灯类型：850nm红外补光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补光灯距离：最远可达150m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水平范围：360°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垂直范围：-15°-90°(自动翻转)</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水平速度：水平键控速度：0.1°-120°/s,速度可设;水平预置点速度：120°/s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垂直速度：垂直键控速度：0.1°-80°/s,速度可设;垂直预置点速度：80°/s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13、内置麦克风：支持双mic功能</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摄像机安装支架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1.定制安装支架；</w:t>
            </w:r>
            <w:r>
              <w:rPr>
                <w:rFonts w:hint="eastAsia" w:ascii="宋体" w:hAnsi="宋体" w:eastAsia="宋体" w:cs="宋体"/>
                <w:sz w:val="21"/>
                <w:szCs w:val="21"/>
              </w:rPr>
              <w:br/>
            </w:r>
            <w:r>
              <w:rPr>
                <w:rFonts w:hint="eastAsia" w:ascii="宋体" w:hAnsi="宋体" w:eastAsia="宋体" w:cs="宋体"/>
                <w:sz w:val="21"/>
                <w:szCs w:val="21"/>
              </w:rPr>
              <w:t xml:space="preserve">2.根据摄像机安装方式配置。</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6.5m杆件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1、杆件采用优质Q235材料加工成型。</w:t>
            </w:r>
            <w:r>
              <w:rPr>
                <w:rFonts w:hint="eastAsia" w:ascii="宋体" w:hAnsi="宋体" w:eastAsia="宋体" w:cs="宋体"/>
                <w:sz w:val="21"/>
                <w:szCs w:val="21"/>
              </w:rPr>
              <w:br/>
            </w:r>
            <w:r>
              <w:rPr>
                <w:rFonts w:hint="eastAsia" w:ascii="宋体" w:hAnsi="宋体" w:eastAsia="宋体" w:cs="宋体"/>
                <w:sz w:val="21"/>
                <w:szCs w:val="21"/>
              </w:rPr>
              <w:t xml:space="preserve">2、立杆八角型，5.0mm厚-高6.5米。</w:t>
            </w:r>
            <w:r>
              <w:rPr>
                <w:rFonts w:hint="eastAsia" w:ascii="宋体" w:hAnsi="宋体" w:eastAsia="宋体" w:cs="宋体"/>
                <w:sz w:val="21"/>
                <w:szCs w:val="21"/>
              </w:rPr>
              <w:br/>
            </w:r>
            <w:r>
              <w:rPr>
                <w:rFonts w:hint="eastAsia" w:ascii="宋体" w:hAnsi="宋体" w:eastAsia="宋体" w:cs="宋体"/>
                <w:sz w:val="21"/>
                <w:szCs w:val="21"/>
              </w:rPr>
              <w:t xml:space="preserve">3、横杆八角型，4.0mm厚-长2米。</w:t>
            </w:r>
            <w:r>
              <w:rPr>
                <w:rFonts w:hint="eastAsia" w:ascii="宋体" w:hAnsi="宋体" w:eastAsia="宋体" w:cs="宋体"/>
                <w:sz w:val="21"/>
                <w:szCs w:val="21"/>
              </w:rPr>
              <w:br/>
            </w:r>
            <w:r>
              <w:rPr>
                <w:rFonts w:hint="eastAsia" w:ascii="宋体" w:hAnsi="宋体" w:eastAsia="宋体" w:cs="宋体"/>
                <w:sz w:val="21"/>
                <w:szCs w:val="21"/>
              </w:rPr>
              <w:t xml:space="preserve">4、杆件直缝采用自动埋弧焊焊接，其他法兰及加强部分采用气体保护焊。</w:t>
            </w:r>
            <w:r>
              <w:rPr>
                <w:rFonts w:hint="eastAsia" w:ascii="宋体" w:hAnsi="宋体" w:eastAsia="宋体" w:cs="宋体"/>
                <w:sz w:val="21"/>
                <w:szCs w:val="21"/>
              </w:rPr>
              <w:br/>
            </w:r>
            <w:r>
              <w:rPr>
                <w:rFonts w:hint="eastAsia" w:ascii="宋体" w:hAnsi="宋体" w:eastAsia="宋体" w:cs="宋体"/>
                <w:sz w:val="21"/>
                <w:szCs w:val="21"/>
              </w:rPr>
              <w:t xml:space="preserve">5、杆件整体热镀锌,喷塑,颜色为灰色。</w:t>
            </w:r>
            <w:r>
              <w:rPr>
                <w:rFonts w:hint="eastAsia" w:ascii="宋体" w:hAnsi="宋体" w:eastAsia="宋体" w:cs="宋体"/>
                <w:sz w:val="21"/>
                <w:szCs w:val="21"/>
              </w:rPr>
              <w:br/>
            </w:r>
            <w:r>
              <w:rPr>
                <w:rFonts w:hint="eastAsia" w:ascii="宋体" w:hAnsi="宋体" w:eastAsia="宋体" w:cs="宋体"/>
                <w:sz w:val="21"/>
                <w:szCs w:val="21"/>
              </w:rPr>
              <w:t xml:space="preserve">6、配8*25的不锈钢方头螺丝*6套.</w:t>
            </w:r>
            <w:r>
              <w:rPr>
                <w:rFonts w:hint="eastAsia" w:ascii="宋体" w:hAnsi="宋体" w:eastAsia="宋体" w:cs="宋体"/>
                <w:sz w:val="21"/>
                <w:szCs w:val="21"/>
              </w:rPr>
              <w:br/>
            </w:r>
            <w:r>
              <w:rPr>
                <w:rFonts w:hint="eastAsia" w:ascii="宋体" w:hAnsi="宋体" w:eastAsia="宋体" w:cs="宋体"/>
                <w:sz w:val="21"/>
                <w:szCs w:val="21"/>
              </w:rPr>
              <w:t xml:space="preserve">7、基础规格：长1200*宽1200*深1200,采用C30或以上商业混凝土浇筑。</w:t>
            </w:r>
            <w:r>
              <w:rPr>
                <w:rFonts w:hint="eastAsia" w:ascii="宋体" w:hAnsi="宋体" w:eastAsia="宋体" w:cs="宋体"/>
                <w:sz w:val="21"/>
                <w:szCs w:val="21"/>
              </w:rPr>
              <w:br/>
            </w:r>
            <w:r>
              <w:rPr>
                <w:rFonts w:hint="eastAsia" w:ascii="宋体" w:hAnsi="宋体" w:eastAsia="宋体" w:cs="宋体"/>
                <w:sz w:val="21"/>
                <w:szCs w:val="21"/>
              </w:rPr>
              <w:t xml:space="preserve">8、杆件设计使用年限不少于20年，抗风至少八级。</w:t>
            </w:r>
            <w:r>
              <w:rPr>
                <w:rFonts w:hint="eastAsia" w:ascii="宋体" w:hAnsi="宋体" w:eastAsia="宋体" w:cs="宋体"/>
                <w:sz w:val="21"/>
                <w:szCs w:val="21"/>
              </w:rPr>
              <w:br/>
            </w:r>
            <w:r>
              <w:rPr>
                <w:rFonts w:hint="eastAsia" w:ascii="宋体" w:hAnsi="宋体" w:eastAsia="宋体" w:cs="宋体"/>
                <w:sz w:val="21"/>
                <w:szCs w:val="21"/>
              </w:rPr>
              <w:t xml:space="preserve">9、包括但不限于用接地测试、土方开挖、回填、垃圾外运、安全防护、路面(绿化)破坏及恢复等一切费用，详见图纸，满足设计及实际使用需求。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r>
      <w:tr>
        <w:trPr>
          <w:trHeight w:val="390"/>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横臂</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杆件采用优质Q235 材料，经大型液压折弯机一次加工成型，横臂壁厚≥4mm，热镀锌喷塑。</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交安标识牌</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全路段禁停，抱杆安装，规格详见图纸</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管道直埋敷设，含管道敷设、线路敷设、开挖、回填、垃圾外运、安全防护、路面(绿化)破坏及恢复等一切费用，埋深不低于700mm，详见图纸，满足设计及使用需求。</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1040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管道手井</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预制手井，详见图纸</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光纤终端盒</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4口满配单模，包含尾纤</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光纤收发器</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千兆3公里，一光一电</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室外光缆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国标GYTA-4</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533.5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PE管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国标DN32，2mm厚</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1144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钢管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SC32，3.5mm厚，含PE管接头</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波纹管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AD25</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1309</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492.8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855.6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接入交换机</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5个RJ45以太网接口‌，支持10/100/1000Mbps自适应传输，兼容传统10/100Mbps设备接入。 ‌</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18</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智能设备箱</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1、基本要求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设备箱采用一体模块化设计 ,集成了空气开关、电源防雷器、智能运维单元、电源输出单元、电源输出控制单元、LED照明、温控风扇、除尘风扇、 门禁、接地装置等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2、箱体结构</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箱体颜色为白色 ,具有防雨水帽檐结构，箱体尺寸 :长度 ≤350mm,高度 ≤450mm,宽度≤220mm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3、电源适应性</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电源电压在额定电压的-120V～+44V范围内变化时 ,能正常工作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4、电源管理功能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支持1路AC220V输出 ,可通过 web页面远程控制开关 ,并可检测电压 、电流值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支持1路UPS后备电源输出 ,在市电断电的情况下 ,可给外接设备供电并实时上报电源故障告警信息，支持电源重启功能。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5、管理运维单元功能检查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支持数据采集及故障诊断，支持网络摄像机状态监测，支持状态监测及远程控制功能。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6、通讯协议功能检查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支持实时通讯并上报告警信息 ,具有RS485通信接口,具有SNMP、TCP等协议设置选项 。</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7、▲Web远程管理功能：支持通过 Web远程查看运行参数及状态数据，支持通过Web对设备箱的相关参数进行修改 ,支持远程升级。宕机监控功能：</w:t>
            </w:r>
            <w:r>
              <w:rPr>
                <w:rFonts w:hint="eastAsia" w:ascii="宋体" w:hAnsi="宋体" w:eastAsia="宋体" w:cs="宋体"/>
                <w:sz w:val="21"/>
                <w:szCs w:val="21"/>
              </w:rPr>
              <w:t xml:space="preserve">内置看门狗监控功能 ,当设备箱遇到宕机等故障时 ,可自动重启 。告警上报功能：当设备箱内出现温度过高、输入输出电压异常、风扇开启、断网、箱门开启、非法开门、箱体倾斜、摄像机工作状态异常、 电源防雷器故障等 的情况下 ,可将报警信息实时上报。门禁状态检测功能：支持门禁状态检测及显示功能 ,开门后若在规定时间内未进行合法验证则触发非法开门告警 ,并可上报。温控散热功能检查：支持温控散热管理功能 ,可设定温度阈值 ,当温度超过阈值时风扇自动开启 。智能除尘功能检查：支持智能除尘功能,可按照系统设定自动开启除尘风扇</w:t>
            </w:r>
            <w:r>
              <w:rPr>
                <w:rFonts w:hint="eastAsia" w:ascii="宋体" w:hAnsi="宋体" w:eastAsia="宋体" w:cs="宋体"/>
                <w:sz w:val="21"/>
                <w:szCs w:val="21"/>
                <w:lang w:eastAsia="zh-CN"/>
              </w:rPr>
              <w:t xml:space="preserve">。</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8、LED照明功能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支持照明功能 ,设备箱在箱门开启状态下 LED照明灯自动开启 ,箱门关闭状态下LED照明灯自动关闭。</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9、外壳防护 IP56</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三、非机动车违法行驶抓拍</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四目结构化</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1、设备支持同步采集4路视频流，2路为全景通道，2路为细节通道，组成2组视频采集组，每组均由1路全景通道和1路细节通道组成</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2、设备内置4个镜头，具有2个靶面尺寸为1/1.2英寸的CMOS传感器，2个靶面尺寸为1/1.8英寸的CMOS传感器。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3、最低照度彩色不大于0.0002 lx，黑白不大于0.0001 lx。</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4、细节镜头分辨率不低于3840*2160，全景镜头分辨率不低于2560*1440.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5、设备的2个细节采集镜头均支持电动和手动变焦、自动/电动聚焦，自动调节光圈功能，变焦过程中不会完全虚焦。</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6、设备内置2个定焦镜头和2个电动变焦镜头，其中定焦镜头焦距范围：（4±5%）mm、电动变焦镜头焦距：（10±5%）mm~（50±5%）mm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支持H.264、H.265、MJPEG设置选项，可将H.265、H.264格式设置为Baseline/Main/High Profile</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7、同一静止场景相同图像质量下，设备在H.265编码方式时，开启智能编码功能和不开启智能编码相比，码率节约≥80%。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在分辨率1920x1080 @ 25fps，码流设置为1Mbps时，视频图像传输延时不大于60ms。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内置不少于2颗GPU芯片，2个细节通道均支持混合目标检测，可分别对检测区域中的行人、非机动车、机动车进行检测、跟踪、抓拍，支持抓拍人脸、车牌、非机动车车牌小图并上传，可在客户端将人脸与人体、车牌与车辆图片关联显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8、支持人脸、人体、非机动车、机动车属性识别功能，可识别不小于11种行人衣服/裤子颜色、不小于13种车身颜色。</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支持检出面部区域过曝、面部欠曝、阴阳脸、逆光等不同光照条件下人脸。</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9、▲2个视频采集组均具有轨迹关联功能，细节镜头可抓拍、分析检测区域内的行人和非机动车，并在全景画面中叠加目标跟踪框、行进轨迹和方向。</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10、设备具有2个PT控制模块，均支持视频采集组（由一路全景通道和一路细节通道组成）的监控场景调节。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11、设备的2个PT模块水平方向支持不小于0°～180°旋转，垂直方向支持不小于-5°～25°旋转。</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12、▲设备具有2种模式：卡口模式和多镜头协同模式。卡口模式下支持4种预设场景：多向卡口-Y型、多向卡口-L型、多向卡口-一型、同向卡口、可实现一键布防。多镜头协同模式具有3种协同分析模式：关联去重、目标关联、轨迹关联。</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13、设备内置能耗检测模块，可实时检测设备的输入电压和功耗信息，可生成日报表、周报表，并以图表形式展现。</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14、自带机身平衡检测模块，可指示设备安装是否水平。</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15、设备具有不少于10颗混合补光灯，每组视频采集组各具有不少于5颗补光灯，细节通道可识别距离设备不小于100m处的人体轮廓。</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16、内置鳞镜式补光灯，补光灯开启后，灯光均匀无波纹、圆环状、麻点状、条纹状和不规则亮斑。</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17、设备具有2路音频输入接口，1路音频输出接口，3路报警输入接口，2路报警输出接口</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18、设备防护等级不低于IP67，工作温度：-30 °C~60 °C。</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频闪补光灯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LED灯珠数量：16颗。</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最佳补光距离：16米-25米。</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触发方式：电平量触发。</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日夜功能：支持环境亮度监测,低照度下自动开启。</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防护等级不低于IP66。</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摄像机安装支架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1.定制安装支架；</w:t>
            </w:r>
            <w:r>
              <w:rPr>
                <w:rFonts w:hint="eastAsia" w:ascii="宋体" w:hAnsi="宋体" w:eastAsia="宋体" w:cs="宋体"/>
                <w:sz w:val="21"/>
                <w:szCs w:val="21"/>
              </w:rPr>
              <w:br/>
            </w:r>
            <w:r>
              <w:rPr>
                <w:rFonts w:hint="eastAsia" w:ascii="宋体" w:hAnsi="宋体" w:eastAsia="宋体" w:cs="宋体"/>
                <w:sz w:val="21"/>
                <w:szCs w:val="21"/>
              </w:rPr>
              <w:t xml:space="preserve">2.根据摄像机安装方式配置。</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4.5m杆件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杆件采用优质Q235 材料，经大型液压折弯机一次加工成型，立杆、横杆均八角型，杆件设计使用寿命 20 年。H4.5，L0.8-2m，立杆壁厚≥5mm ,</w:t>
            </w:r>
            <w:r>
              <w:rPr>
                <w:rFonts w:hint="eastAsia" w:ascii="宋体" w:hAnsi="宋体" w:eastAsia="宋体" w:cs="宋体"/>
                <w:sz w:val="21"/>
                <w:szCs w:val="21"/>
              </w:rPr>
              <w:br/>
            </w:r>
            <w:r>
              <w:rPr>
                <w:rFonts w:hint="eastAsia" w:ascii="宋体" w:hAnsi="宋体" w:eastAsia="宋体" w:cs="宋体"/>
                <w:sz w:val="21"/>
                <w:szCs w:val="21"/>
              </w:rPr>
              <w:t xml:space="preserve">横臂壁厚≥1.5mm，热镀锌喷塑，整体美观大方。立杆配套施工必须严格遵循《安全防范工程技术规范》（GB50348-2018）进行实施。</w:t>
            </w:r>
            <w:r>
              <w:rPr>
                <w:rFonts w:hint="eastAsia" w:ascii="宋体" w:hAnsi="宋体" w:eastAsia="宋体" w:cs="宋体"/>
                <w:sz w:val="21"/>
                <w:szCs w:val="21"/>
              </w:rPr>
              <w:br/>
            </w:r>
            <w:r>
              <w:rPr>
                <w:rFonts w:hint="eastAsia" w:ascii="宋体" w:hAnsi="宋体" w:eastAsia="宋体" w:cs="宋体"/>
                <w:sz w:val="21"/>
                <w:szCs w:val="21"/>
              </w:rPr>
              <w:t xml:space="preserve">含 C30 商混、开挖（尺寸≥800*800*1000，根据杆件配置，与路牙保持平行）、地笼、底座法兰、锚板。</w:t>
            </w:r>
            <w:r>
              <w:rPr>
                <w:rFonts w:hint="eastAsia" w:ascii="宋体" w:hAnsi="宋体" w:eastAsia="宋体" w:cs="宋体"/>
                <w:sz w:val="21"/>
                <w:szCs w:val="21"/>
              </w:rPr>
              <w:br/>
            </w:r>
            <w:r>
              <w:rPr>
                <w:rFonts w:hint="eastAsia" w:ascii="宋体" w:hAnsi="宋体" w:eastAsia="宋体" w:cs="宋体"/>
                <w:sz w:val="21"/>
                <w:szCs w:val="21"/>
              </w:rPr>
              <w:t xml:space="preserve">包括但不限于接地、土方开挖、回填、垃圾外运、安全防护、路面(绿化)破坏及恢复等一切费用，详见图纸，满足设计及实际使用需求。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横臂</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杆件采用优质Q235 材料，经大型液压折弯机一次加工成型，横臂壁厚≥1.5mm，热镀锌喷塑。</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接入交换机</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5个RJ45以太网接口‌，支持10/100/1000Mbps自适应传输，兼容传统10/100Mbps设备接入。 ‌</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交安标识牌</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违法抓拍，抱杆安装，详见设计图纸</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管道直埋敷设，含管道敷设、线路敷设、开挖、回填、垃圾外运、安全防护、路面(绿化)破坏及恢复等一切费用，埋深不低于700mm，详见图纸，满足设计及使用需求。</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管道手井</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预制手井，详见图纸</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PE管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国标DN32，2mm厚</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波纹管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AD25</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448.8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187.2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智能设备箱</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1、基本要求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设备箱采用一体模块化设计 ,集成了空气开关、电源防雷器、智能运维单元、电源输出单元、电源输出控制单元、LED照明、温控风扇、除尘风扇、 门禁、接地装置等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2、箱体结构</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箱体颜色为白色 ,具有防雨水帽檐结构，箱体尺寸 :长度 ≤350mm,高度 ≤450mm,宽度≤220mm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3、电源适应性</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电源电压在额定电压的-120V～+44V范围内变化时 ,能正常工作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4、电源管理功能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支持1路AC220V输出 ,可通过 web页面远程控制开关 ,并可检测电压 、电流值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支持1路UPS后备电源输出 ,在市电断电的情况下 ,可给外接设备供电并实时上报电源故障告警信息，支持电源重启功能。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5、管理运维单元功能检查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支持数据采集及故障诊断，支持网络摄像机状态监测，支持状态监测及远程控制功能。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6、通讯协议功能检查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支持实时通讯并上报告警信息 ,具有RS485通信接口,具有SNMP、TCP等协议设置选项 。</w:t>
            </w:r>
            <w:r/>
          </w:p>
          <w:p>
            <w:pPr>
              <w:numPr>
                <w:ilvl w:val="0"/>
                <w:numId w:val="8"/>
              </w:num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Web远程管理功能：支持通过 Web远程查看运行参数及状态数据，支持通过Web对设备箱的相关参数进行修改 ,支持远程升级。宕机监控功能：</w:t>
            </w:r>
            <w:r>
              <w:rPr>
                <w:rFonts w:hint="eastAsia" w:ascii="宋体" w:hAnsi="宋体" w:eastAsia="宋体" w:cs="宋体"/>
                <w:sz w:val="21"/>
                <w:szCs w:val="21"/>
              </w:rPr>
              <w:t xml:space="preserve">内置看门狗监控功能 ,当设备箱遇到宕机等故障时 ,可自动重启 。告警上报功能：当设备箱内出现温度过高、输入输出电压异常、风扇开启、断网、箱门开启、非法开门、箱体倾斜、摄像机工作状态异常、 电源防雷器故障等 的情况下 ,可将报警信息实时上报。门禁状态检测功能：支持门禁状态检测及显示功能 ,开门后若在规定时间内未进行合法验证则触发非法开门告警 ,并可上报。温控散热功能检查：支持温控散热管理功能 ,可设定温度阈值 ,当温度超过阈值时风扇自动开启 。智能除尘功能检查：支持智能除尘功能,可按照系统设定自动开启除尘风扇</w:t>
            </w:r>
            <w:r>
              <w:rPr>
                <w:rFonts w:hint="eastAsia" w:ascii="宋体" w:hAnsi="宋体" w:eastAsia="宋体" w:cs="宋体"/>
                <w:sz w:val="21"/>
                <w:szCs w:val="21"/>
                <w:lang w:eastAsia="zh-CN"/>
              </w:rPr>
              <w:t xml:space="preserve">。</w:t>
            </w:r>
            <w:r/>
          </w:p>
          <w:p>
            <w:pPr>
              <w:numPr>
                <w:ilvl w:val="0"/>
                <w:numId w:val="0"/>
              </w:num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8、LED照明功能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支持照明功能 ,设备箱在箱门开启状态下 LED照明灯自动开启 ,箱门关闭状态下LED照明灯自动关闭。</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9、外壳防护 IP56。</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四、高速出入口抓拍</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卡口相机</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1、采用全局曝光 CMOS 传感器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2、传感器类型：1.1” Global shutter CMOS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3、图像控制：曝光速度、AGC控制、白平衡方式控制等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4、视频压缩标准：H.264, H.265, MJPEG</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5、视频分辨率：不低于4000(H) × 3000(V)</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6、压缩输出码率：32 Kbps~16 Mbps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7、设备组成检查：高清抓拍单元由摄像机、高清镜头、室外防护罩、风扇、补光灯、电源适配器、安装万向节等组成。</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8、接口检查：具有2个RJ45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9、人脸增强功能检查：具有AI人脸增强设置选项，开启后可去除白天车窗反光和彩条纹，支持人脸区域自动曝光，可根据人脸区域光照变化自动调节人脸区域曝光参数。</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10、支持前排主副驾驶人员的人脸检测功能，白天和夜晚图片中人脸信息清晰可辨，白天前排人脸抓拍率≥99%；夜晚前排人脸抓拍率≥99%。</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目标捕获率试验：在混合抓拍模式下，人体、非机动 车和机动车目标捕获率不低于99%。</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11、目标跟踪功能检查：支持检测并跟踪指定区域内不少于230个目标,目标包括机动车、非机动车 以及行人等。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12、超速设置功能检查：支持分别对11种车型(大货车、中货 车、小货车、客车、小轿车、中客车、危 险品运输车、校车、面包车、环卫车其他 车型等)进行不同超速比设置,可设置12 个超速比区间。在相同道路上,设备支持 根据不同的超速比设置对不同车型进行超 速抓拍,并输出不同的超速抓拍结果及违 法代码。</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13、支持对无人驾驶的车辆进行车牌识别。</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14、▲当识别到不同的非机动车目标（行人/二轮车/四轮车）时，可实现不同的提醒方式，包括联动外接的红蓝爆闪灯、蜂鸣器、或语音报警器，支持对改装的牛眼灯进行检测。闯禁令支持根据车牌类型区分抓拍计划，包括蓝牌、新能源和货车三种，支持设置蓝牌和新能源车牌在22点～7点进行抓拍，黄牌货车24小时全天进行抓拍。</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15、支持逆行和变道违章触发抓拍，逆行识别类型包括:高速公路逆行、单行道逆向行驶;变道违章检测类型包括:实线变道(含双黄线)、导流区变道、连续变道(&gt;3条车道)</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16、支持图片编码质量配置，车牌小图的图片质量(大/中/小)可配</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17、支持车牌遮挡检查功能，在检测到车牌被遮挡的情况下可给出提示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18、支持对两轮/三轮车分类识别;可识别外卖箱(外卖品牌)的标识。</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19、冒红灯违章支持叠加红灯已亮时间，可按照抓拍索引配置叠加红灯已亮时间</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20、支持渣土车/大货车喷涂车牌识别</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多合一补光灯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1、高度集成：集暖光LED频闪、爆闪和氙气白光、红外爆闪于一体，有效降低光污染、避免麻雀杆现象。</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2、红外白光：支持红外/白光闪光，可自动切换红外和白光模式。</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3、视频同步：支持LED频闪同步相机视频补光，车牌补光效果更好。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4、抓拍同步：支持LED爆闪或氙气爆闪同步相机抓拍补光，车窗内人脸和细节效果更优。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5、亮度可调：支持相机WEB设置LED频闪灯和氙气爆闪灯亮度。</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6、脉宽可调：支持相机WEB设置LED频闪脉宽时间0~3ms。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7、回电时间：爆闪回电时间＜70ms，满足交通摄像机连抓两张的需求。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8、触发方式：支持开关量触发方式。</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yellow"/>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yellow"/>
              </w:rPr>
            </w:pPr>
            <w:r>
              <w:rPr>
                <w:rFonts w:hint="eastAsia" w:ascii="宋体" w:hAnsi="宋体" w:eastAsia="宋体" w:cs="宋体"/>
                <w:sz w:val="21"/>
                <w:szCs w:val="21"/>
              </w:rPr>
              <w:t xml:space="preserve">道路监控球机</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1、400万23倍网络红外球机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2、适用于交通道路，广场、公园、出入口、园区周界等场景</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3、设备支持人车检测信息叠加至码流，配合smart nvr配合实现文搜功能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4、采用高效补光阵列，红外补光150m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5、支持区域入侵侦测、越界侦测等智能侦测功能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6、支持最大2560×1440@30fps高清画面输出</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7、内置加热玻璃，有效除雾</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8、支持双mic功能，拾音距离8 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9、传感器类型：1/2.8" Progressive Scan CMOS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10、最低照度：彩色：0.005Lux @ (F1.6，AGC ON)；黑白：0.001Lux @(F1.6，AGC ON) ；0 Lux with IR</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光学变倍：23倍 ，焦距：4.8-110.4mm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11、视场角：水平视场角：55°~2.7°（广角~望远）</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垂直视场角：33°~1.5°（广角~望远）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对角视场角：61.5°~3.1°（广角~望远）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12、补光灯类型：850nm红外补光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补光灯距离：最远可达150m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水平范围：360°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垂直范围：-15°-90°(自动翻转)</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水平速度：水平键控速度：0.1°-120°/s,速度可设;水平预置点速度：120°/s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垂直速度：垂直键控速度：0.1°-80°/s,速度可设;垂直预置点速度：80°/s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13、内置麦克风：支持双mic功能</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摄像机安装支架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1.定制安装支架；</w:t>
            </w:r>
            <w:r>
              <w:rPr>
                <w:rFonts w:hint="eastAsia" w:ascii="宋体" w:hAnsi="宋体" w:eastAsia="宋体" w:cs="宋体"/>
                <w:sz w:val="21"/>
                <w:szCs w:val="21"/>
              </w:rPr>
              <w:br/>
            </w:r>
            <w:r>
              <w:rPr>
                <w:rFonts w:hint="eastAsia" w:ascii="宋体" w:hAnsi="宋体" w:eastAsia="宋体" w:cs="宋体"/>
                <w:sz w:val="21"/>
                <w:szCs w:val="21"/>
              </w:rPr>
              <w:t xml:space="preserve">2.根据摄像机安装方式配置。</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标识牌</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监控标识牌</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6.5m杆件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1、杆件采用优质Q235材料加工成型。</w:t>
            </w:r>
            <w:r>
              <w:rPr>
                <w:rFonts w:hint="eastAsia" w:ascii="宋体" w:hAnsi="宋体" w:eastAsia="宋体" w:cs="宋体"/>
                <w:sz w:val="21"/>
                <w:szCs w:val="21"/>
              </w:rPr>
              <w:br/>
            </w:r>
            <w:r>
              <w:rPr>
                <w:rFonts w:hint="eastAsia" w:ascii="宋体" w:hAnsi="宋体" w:eastAsia="宋体" w:cs="宋体"/>
                <w:sz w:val="21"/>
                <w:szCs w:val="21"/>
              </w:rPr>
              <w:t xml:space="preserve">2、立杆八角型，6.0mm厚-高6.5米。</w:t>
            </w:r>
            <w:r>
              <w:rPr>
                <w:rFonts w:hint="eastAsia" w:ascii="宋体" w:hAnsi="宋体" w:eastAsia="宋体" w:cs="宋体"/>
                <w:sz w:val="21"/>
                <w:szCs w:val="21"/>
              </w:rPr>
              <w:br/>
            </w:r>
            <w:r>
              <w:rPr>
                <w:rFonts w:hint="eastAsia" w:ascii="宋体" w:hAnsi="宋体" w:eastAsia="宋体" w:cs="宋体"/>
                <w:sz w:val="21"/>
                <w:szCs w:val="21"/>
              </w:rPr>
              <w:t xml:space="preserve">3、横杆八角型，4.0mm厚-长6~8米。</w:t>
            </w:r>
            <w:r>
              <w:rPr>
                <w:rFonts w:hint="eastAsia" w:ascii="宋体" w:hAnsi="宋体" w:eastAsia="宋体" w:cs="宋体"/>
                <w:sz w:val="21"/>
                <w:szCs w:val="21"/>
              </w:rPr>
              <w:br/>
            </w:r>
            <w:r>
              <w:rPr>
                <w:rFonts w:hint="eastAsia" w:ascii="宋体" w:hAnsi="宋体" w:eastAsia="宋体" w:cs="宋体"/>
                <w:sz w:val="21"/>
                <w:szCs w:val="21"/>
              </w:rPr>
              <w:t xml:space="preserve">4、杆件直缝采用自动埋弧焊焊接，其他法兰及加强部分采用气体保护焊。</w:t>
            </w:r>
            <w:r>
              <w:rPr>
                <w:rFonts w:hint="eastAsia" w:ascii="宋体" w:hAnsi="宋体" w:eastAsia="宋体" w:cs="宋体"/>
                <w:sz w:val="21"/>
                <w:szCs w:val="21"/>
              </w:rPr>
              <w:br/>
            </w:r>
            <w:r>
              <w:rPr>
                <w:rFonts w:hint="eastAsia" w:ascii="宋体" w:hAnsi="宋体" w:eastAsia="宋体" w:cs="宋体"/>
                <w:sz w:val="21"/>
                <w:szCs w:val="21"/>
              </w:rPr>
              <w:t xml:space="preserve">5、杆件整体热镀锌,喷塑,颜色为灰色。</w:t>
            </w:r>
            <w:r>
              <w:rPr>
                <w:rFonts w:hint="eastAsia" w:ascii="宋体" w:hAnsi="宋体" w:eastAsia="宋体" w:cs="宋体"/>
                <w:sz w:val="21"/>
                <w:szCs w:val="21"/>
              </w:rPr>
              <w:br/>
            </w:r>
            <w:r>
              <w:rPr>
                <w:rFonts w:hint="eastAsia" w:ascii="宋体" w:hAnsi="宋体" w:eastAsia="宋体" w:cs="宋体"/>
                <w:sz w:val="21"/>
                <w:szCs w:val="21"/>
              </w:rPr>
              <w:t xml:space="preserve">6、配8*25的不锈钢方头螺丝*6套.</w:t>
            </w:r>
            <w:r>
              <w:rPr>
                <w:rFonts w:hint="eastAsia" w:ascii="宋体" w:hAnsi="宋体" w:eastAsia="宋体" w:cs="宋体"/>
                <w:sz w:val="21"/>
                <w:szCs w:val="21"/>
              </w:rPr>
              <w:br/>
            </w:r>
            <w:r>
              <w:rPr>
                <w:rFonts w:hint="eastAsia" w:ascii="宋体" w:hAnsi="宋体" w:eastAsia="宋体" w:cs="宋体"/>
                <w:sz w:val="21"/>
                <w:szCs w:val="21"/>
              </w:rPr>
              <w:t xml:space="preserve">7、基础规格：长1600*宽1600*深2000,采用C30或以上商业混凝土浇筑。</w:t>
            </w:r>
            <w:r>
              <w:rPr>
                <w:rFonts w:hint="eastAsia" w:ascii="宋体" w:hAnsi="宋体" w:eastAsia="宋体" w:cs="宋体"/>
                <w:sz w:val="21"/>
                <w:szCs w:val="21"/>
              </w:rPr>
              <w:br/>
            </w:r>
            <w:r>
              <w:rPr>
                <w:rFonts w:hint="eastAsia" w:ascii="宋体" w:hAnsi="宋体" w:eastAsia="宋体" w:cs="宋体"/>
                <w:sz w:val="21"/>
                <w:szCs w:val="21"/>
              </w:rPr>
              <w:t xml:space="preserve">8、杆件设计使用年限不少于20年，抗风至少八级。</w:t>
            </w:r>
            <w:r>
              <w:rPr>
                <w:rFonts w:hint="eastAsia" w:ascii="宋体" w:hAnsi="宋体" w:eastAsia="宋体" w:cs="宋体"/>
                <w:sz w:val="21"/>
                <w:szCs w:val="21"/>
              </w:rPr>
              <w:br/>
            </w:r>
            <w:r>
              <w:rPr>
                <w:rFonts w:hint="eastAsia" w:ascii="宋体" w:hAnsi="宋体" w:eastAsia="宋体" w:cs="宋体"/>
                <w:sz w:val="21"/>
                <w:szCs w:val="21"/>
              </w:rPr>
              <w:t xml:space="preserve">9、包括但不限于用接地测试、土方开挖、回填、垃圾外运、安全防护、路面(绿化)破坏及恢复等一切费用，详见图纸，满足设计及实际使用需求。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6.5m杆件</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1、杆件采用优质Q235材料加工成型。</w:t>
            </w:r>
            <w:r>
              <w:rPr>
                <w:rFonts w:hint="eastAsia" w:ascii="宋体" w:hAnsi="宋体" w:eastAsia="宋体" w:cs="宋体"/>
                <w:sz w:val="21"/>
                <w:szCs w:val="21"/>
              </w:rPr>
              <w:br/>
            </w:r>
            <w:r>
              <w:rPr>
                <w:rFonts w:hint="eastAsia" w:ascii="宋体" w:hAnsi="宋体" w:eastAsia="宋体" w:cs="宋体"/>
                <w:sz w:val="21"/>
                <w:szCs w:val="21"/>
              </w:rPr>
              <w:t xml:space="preserve">2、立杆八角型，10.0mm厚-高6.5米。</w:t>
            </w:r>
            <w:r>
              <w:rPr>
                <w:rFonts w:hint="eastAsia" w:ascii="宋体" w:hAnsi="宋体" w:eastAsia="宋体" w:cs="宋体"/>
                <w:sz w:val="21"/>
                <w:szCs w:val="21"/>
              </w:rPr>
              <w:br/>
            </w:r>
            <w:r>
              <w:rPr>
                <w:rFonts w:hint="eastAsia" w:ascii="宋体" w:hAnsi="宋体" w:eastAsia="宋体" w:cs="宋体"/>
                <w:sz w:val="21"/>
                <w:szCs w:val="21"/>
              </w:rPr>
              <w:t xml:space="preserve">3、横杆八角型，6.0mm厚-长15米。</w:t>
            </w:r>
            <w:r>
              <w:rPr>
                <w:rFonts w:hint="eastAsia" w:ascii="宋体" w:hAnsi="宋体" w:eastAsia="宋体" w:cs="宋体"/>
                <w:sz w:val="21"/>
                <w:szCs w:val="21"/>
              </w:rPr>
              <w:br/>
            </w:r>
            <w:r>
              <w:rPr>
                <w:rFonts w:hint="eastAsia" w:ascii="宋体" w:hAnsi="宋体" w:eastAsia="宋体" w:cs="宋体"/>
                <w:sz w:val="21"/>
                <w:szCs w:val="21"/>
              </w:rPr>
              <w:t xml:space="preserve">4、杆件直缝采用自动埋弧焊焊接，其他法兰及加强部分采用气体保护焊。</w:t>
            </w:r>
            <w:r>
              <w:rPr>
                <w:rFonts w:hint="eastAsia" w:ascii="宋体" w:hAnsi="宋体" w:eastAsia="宋体" w:cs="宋体"/>
                <w:sz w:val="21"/>
                <w:szCs w:val="21"/>
              </w:rPr>
              <w:br/>
            </w:r>
            <w:r>
              <w:rPr>
                <w:rFonts w:hint="eastAsia" w:ascii="宋体" w:hAnsi="宋体" w:eastAsia="宋体" w:cs="宋体"/>
                <w:sz w:val="21"/>
                <w:szCs w:val="21"/>
              </w:rPr>
              <w:t xml:space="preserve">5、杆件整体热镀锌,喷塑,颜色为灰色。</w:t>
            </w:r>
            <w:r>
              <w:rPr>
                <w:rFonts w:hint="eastAsia" w:ascii="宋体" w:hAnsi="宋体" w:eastAsia="宋体" w:cs="宋体"/>
                <w:sz w:val="21"/>
                <w:szCs w:val="21"/>
              </w:rPr>
              <w:br/>
            </w:r>
            <w:r>
              <w:rPr>
                <w:rFonts w:hint="eastAsia" w:ascii="宋体" w:hAnsi="宋体" w:eastAsia="宋体" w:cs="宋体"/>
                <w:sz w:val="21"/>
                <w:szCs w:val="21"/>
              </w:rPr>
              <w:t xml:space="preserve">6、配8*25的不锈钢方头螺丝*6套.</w:t>
            </w:r>
            <w:r>
              <w:rPr>
                <w:rFonts w:hint="eastAsia" w:ascii="宋体" w:hAnsi="宋体" w:eastAsia="宋体" w:cs="宋体"/>
                <w:sz w:val="21"/>
                <w:szCs w:val="21"/>
              </w:rPr>
              <w:br/>
            </w:r>
            <w:r>
              <w:rPr>
                <w:rFonts w:hint="eastAsia" w:ascii="宋体" w:hAnsi="宋体" w:eastAsia="宋体" w:cs="宋体"/>
                <w:sz w:val="21"/>
                <w:szCs w:val="21"/>
              </w:rPr>
              <w:t xml:space="preserve">7、基础规格：长1800*宽1800*深2000,采用C30或以上商业混凝土浇筑。</w:t>
            </w:r>
            <w:r>
              <w:rPr>
                <w:rFonts w:hint="eastAsia" w:ascii="宋体" w:hAnsi="宋体" w:eastAsia="宋体" w:cs="宋体"/>
                <w:sz w:val="21"/>
                <w:szCs w:val="21"/>
              </w:rPr>
              <w:br/>
            </w:r>
            <w:r>
              <w:rPr>
                <w:rFonts w:hint="eastAsia" w:ascii="宋体" w:hAnsi="宋体" w:eastAsia="宋体" w:cs="宋体"/>
                <w:sz w:val="21"/>
                <w:szCs w:val="21"/>
              </w:rPr>
              <w:t xml:space="preserve">8、杆件设计使用年限不少于20年，抗风至少八级。</w:t>
            </w:r>
            <w:r>
              <w:rPr>
                <w:rFonts w:hint="eastAsia" w:ascii="宋体" w:hAnsi="宋体" w:eastAsia="宋体" w:cs="宋体"/>
                <w:sz w:val="21"/>
                <w:szCs w:val="21"/>
              </w:rPr>
              <w:br/>
            </w:r>
            <w:r>
              <w:rPr>
                <w:rFonts w:hint="eastAsia" w:ascii="宋体" w:hAnsi="宋体" w:eastAsia="宋体" w:cs="宋体"/>
                <w:sz w:val="21"/>
                <w:szCs w:val="21"/>
              </w:rPr>
              <w:t xml:space="preserve">9、包括但不限于用接地测试、土方开挖、回填、垃圾外运、安全防护、路面(绿化)破坏及恢复等一切费用，详见图纸，满足设计及实际使用需求。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管道直埋敷设，含管道敷设、线路敷设、开挖、回填、垃圾外运、安全防护、路面(绿化)破坏及恢复等一切费用，埋深不低于700mm，详见图纸，满足设计及使用需求。</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管道手井</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预制手井，详见图纸</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光纤终端盒</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4口满配单模，包含尾纤</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光纤收发器</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千兆3公里，一光一电</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室外光缆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国标GYTA-4</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1507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PE管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国标DN32，2mm厚</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1518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波纹管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AD25</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422.4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290.4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18</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智能设备箱</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1、基本要求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设备箱采用一体模块化设计 ,集成了空气开关、电源防雷器、智能运维单元、电源输出单元、电源输出控制单元、LED照明、温控风扇、除尘风扇、 门禁、接地装置等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2、箱体结构</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箱体颜色为白色 ,具有防雨水帽檐结构，箱体尺寸 :长度 ≤350mm,高度 ≤450mm,宽度≤220mm</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3、电源适应性</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电源电压在额定电压的-120V～+44V范围内变化时 ,能正常工作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4、电源管理功能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支持1路AC220V输出 ,可通过 web页面远程控制开关 ,并可检测电压 、电流值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支持1路UPS后备电源输出 ,在市电断电的情况下 ,可给外接设备供电并实时上报电源故障告警信息，支持电源重启功能。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5、管理运维单元功能检查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支持数据采集及故障诊断，支持网络摄像机状态监测，支持状态监测及远程控制功能。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6、通讯协议功能检查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支持实时通讯并上报告警信息 ,具有RS485通信接口,具有SNMP、TCP等协议设置选项 。</w:t>
            </w:r>
            <w:r/>
          </w:p>
          <w:p>
            <w:pPr>
              <w:numPr>
                <w:ilvl w:val="0"/>
                <w:numId w:val="0"/>
              </w:num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Web远程管理功能：支持通过 Web远程查看运行参数及状态数据，支持通过Web对设备箱的相关参数进行修改 ,支持远程升级。宕机监控功能：</w:t>
            </w:r>
            <w:r>
              <w:rPr>
                <w:rFonts w:hint="eastAsia" w:ascii="宋体" w:hAnsi="宋体" w:eastAsia="宋体" w:cs="宋体"/>
                <w:sz w:val="21"/>
                <w:szCs w:val="21"/>
              </w:rPr>
              <w:t xml:space="preserve">内置看门狗监控功能 ,当设备箱遇到宕机等故障时 ,可自动重启 。告警上报功能：当设备箱内出现温度过高、输入输出电压异常、风扇开启、断网、箱门开启、非法开门、箱体倾斜、摄像机工作状态异常、 电源防雷器故障等 的情况下 ,可将报警信息实时上报。门禁状态检测功能：支持门禁状态检测及显示功能 ,开门后若在规定时间内未进行合法验证则触发非法开门告警 ,并可上报。温控散热功能检查：支持温控散热管理功能 ,可设定温度阈值 ,当温度超过阈值时风扇自动开启 。智能除尘功能检查：支持智能除尘功能,可按照系统设定自动开启除尘风扇</w:t>
            </w:r>
            <w:r>
              <w:rPr>
                <w:rFonts w:hint="eastAsia" w:ascii="宋体" w:hAnsi="宋体" w:eastAsia="宋体" w:cs="宋体"/>
                <w:sz w:val="21"/>
                <w:szCs w:val="21"/>
                <w:lang w:eastAsia="zh-CN"/>
              </w:rPr>
              <w:t xml:space="preserve">。</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rPr>
              <w:t xml:space="preserve">8、LED照明功能</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支持照明功能 ,设备箱在箱门开启状态下 LED照明灯自动开启 ,箱门关闭状态下LED照明灯自动关闭。</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9、外壳防护 IP56</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r>
      <w:tr>
        <w:trPr>
          <w:trHeight w:val="402"/>
        </w:trPr>
        <w:tc>
          <w:tcPr>
            <w:gridSpan w:val="4"/>
            <w:tcW w:w="8620"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b/>
                <w:bCs/>
                <w:sz w:val="21"/>
                <w:szCs w:val="21"/>
              </w:rPr>
              <w:t xml:space="preserve">五、无人机系统</w:t>
            </w:r>
            <w:r/>
          </w:p>
        </w:tc>
        <w:tc>
          <w:tcPr>
            <w:tcW w:w="616" w:type="dxa"/>
            <w:vAlign w:val="center"/>
            <w:textDirection w:val="lrTb"/>
            <w:noWrap/>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848" w:type="dxa"/>
            <w:vAlign w:val="center"/>
            <w:textDirection w:val="lrTb"/>
            <w:noWrap/>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3"/>
            <w:tcW w:w="7884"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b/>
                <w:bCs/>
                <w:sz w:val="21"/>
                <w:szCs w:val="21"/>
              </w:rPr>
              <w:t xml:space="preserve">无人机软件平台</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4"/>
            <w:tcW w:w="8620" w:type="dxa"/>
            <w:vAlign w:val="center"/>
            <w:textDirection w:val="lrTb"/>
            <w:noWrap/>
          </w:tcPr>
          <w:p>
            <w:pPr>
              <w:jc w:val="left"/>
              <w:rPr>
                <w:rFonts w:hint="eastAsia" w:ascii="宋体" w:hAnsi="宋体" w:eastAsia="宋体" w:cs="宋体"/>
                <w:b/>
                <w:bCs/>
                <w:sz w:val="21"/>
                <w:szCs w:val="21"/>
              </w:rPr>
            </w:pPr>
            <w:r>
              <w:rPr>
                <w:rFonts w:hint="eastAsia" w:ascii="宋体" w:hAnsi="宋体" w:eastAsia="宋体" w:cs="宋体"/>
                <w:b/>
                <w:bCs/>
                <w:sz w:val="21"/>
                <w:szCs w:val="21"/>
              </w:rPr>
              <w:t xml:space="preserve">主要功能要求：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4"/>
            <w:tcW w:w="8620" w:type="dxa"/>
            <w:vAlign w:val="center"/>
            <w:textDirection w:val="lrTb"/>
            <w:noWrap w:val="false"/>
          </w:tcPr>
          <w:p>
            <w:pPr>
              <w:rPr>
                <w:rFonts w:hint="eastAsia" w:ascii="宋体" w:hAnsi="宋体" w:eastAsia="宋体" w:cs="宋体"/>
                <w:sz w:val="21"/>
                <w:szCs w:val="21"/>
              </w:rPr>
            </w:pPr>
            <w:r/>
            <w:bookmarkStart w:id="171" w:name="_Hlk227590190"/>
            <w:r>
              <w:rPr>
                <w:rFonts w:hint="eastAsia" w:ascii="宋体" w:hAnsi="宋体" w:eastAsia="宋体" w:cs="宋体"/>
                <w:sz w:val="21"/>
                <w:szCs w:val="21"/>
              </w:rPr>
              <w:t xml:space="preserve">1、平台应支持手动规划航点航线，支持预览、修正、删除已经规划的航点航线。并支持自定义多个航点根据用户需求任意设置飞行航线。</w:t>
            </w:r>
            <w:r/>
          </w:p>
          <w:p>
            <w:pPr>
              <w:rPr>
                <w:rFonts w:hint="eastAsia" w:ascii="宋体" w:hAnsi="宋体" w:eastAsia="宋体" w:cs="宋体"/>
                <w:sz w:val="21"/>
                <w:szCs w:val="21"/>
              </w:rPr>
            </w:pPr>
            <w:r>
              <w:rPr>
                <w:rFonts w:hint="eastAsia" w:ascii="宋体" w:hAnsi="宋体" w:eastAsia="宋体" w:cs="宋体"/>
                <w:sz w:val="21"/>
                <w:szCs w:val="21"/>
              </w:rPr>
              <w:t xml:space="preserve">2、平台应支持配置航点航线的各项参数，包括：飞行速度、飞行高度、任务完成后执行动作、无信号时是否退出任务等。</w:t>
            </w:r>
            <w:r/>
          </w:p>
          <w:p>
            <w:pPr>
              <w:rPr>
                <w:rFonts w:hint="eastAsia" w:ascii="宋体" w:hAnsi="宋体" w:eastAsia="宋体" w:cs="宋体"/>
                <w:sz w:val="21"/>
                <w:szCs w:val="21"/>
              </w:rPr>
            </w:pPr>
            <w:r>
              <w:rPr>
                <w:rFonts w:hint="eastAsia" w:ascii="宋体" w:hAnsi="宋体" w:eastAsia="宋体" w:cs="宋体"/>
                <w:sz w:val="21"/>
                <w:szCs w:val="21"/>
              </w:rPr>
              <w:t xml:space="preserve">3、平台应支持查看无人机设备实时飞行的详细信息，包括：飞行轨迹、实时视频、飞手信息、设备信息、组织信息、起飞时间、图传信号、遥控电量、飞机电量、电池温度、海拔高度、经度、维度等参数。</w:t>
            </w:r>
            <w:r/>
          </w:p>
          <w:p>
            <w:pPr>
              <w:rPr>
                <w:rFonts w:hint="eastAsia" w:ascii="宋体" w:hAnsi="宋体" w:eastAsia="宋体" w:cs="宋体"/>
                <w:sz w:val="21"/>
                <w:szCs w:val="21"/>
              </w:rPr>
            </w:pPr>
            <w:r>
              <w:rPr>
                <w:rFonts w:hint="eastAsia" w:ascii="宋体" w:hAnsi="宋体" w:eastAsia="宋体" w:cs="宋体"/>
                <w:sz w:val="21"/>
                <w:szCs w:val="21"/>
              </w:rPr>
              <w:t xml:space="preserve">4、平台应支持远程调节无人机设备所搭载的云台的航向角、俯仰角以及镜头缩放，以达到更好的监控效果。</w:t>
            </w:r>
            <w:r/>
          </w:p>
          <w:p>
            <w:pPr>
              <w:rPr>
                <w:rFonts w:hint="eastAsia" w:ascii="宋体" w:hAnsi="宋体" w:eastAsia="宋体" w:cs="宋体"/>
                <w:sz w:val="21"/>
                <w:szCs w:val="21"/>
              </w:rPr>
            </w:pPr>
            <w:r>
              <w:rPr>
                <w:rFonts w:hint="eastAsia" w:ascii="宋体" w:hAnsi="宋体" w:eastAsia="宋体" w:cs="宋体"/>
                <w:sz w:val="21"/>
                <w:szCs w:val="21"/>
              </w:rPr>
              <w:t xml:space="preserve">5、平台应支持同时监控多架无人机设备搭载的相机视频图像，视频播放过程中实时截图。</w:t>
            </w:r>
            <w:r/>
          </w:p>
          <w:p>
            <w:pPr>
              <w:rPr>
                <w:rFonts w:hint="eastAsia" w:ascii="宋体" w:hAnsi="宋体" w:eastAsia="宋体" w:cs="宋体"/>
                <w:sz w:val="21"/>
                <w:szCs w:val="21"/>
              </w:rPr>
            </w:pPr>
            <w:r>
              <w:rPr>
                <w:rFonts w:hint="eastAsia" w:ascii="宋体" w:hAnsi="宋体" w:eastAsia="宋体" w:cs="宋体"/>
                <w:sz w:val="21"/>
                <w:szCs w:val="21"/>
              </w:rPr>
              <w:t xml:space="preserve">6、平台应支持航线检索功能，方便用户快速定位到已经规划的航线。</w:t>
            </w:r>
            <w:r/>
          </w:p>
          <w:p>
            <w:pPr>
              <w:rPr>
                <w:rFonts w:hint="eastAsia" w:ascii="宋体" w:hAnsi="宋体" w:eastAsia="宋体" w:cs="宋体"/>
                <w:sz w:val="21"/>
                <w:szCs w:val="21"/>
              </w:rPr>
            </w:pPr>
            <w:r>
              <w:rPr>
                <w:rFonts w:hint="eastAsia" w:ascii="宋体" w:hAnsi="宋体" w:eastAsia="宋体" w:cs="宋体"/>
                <w:sz w:val="21"/>
                <w:szCs w:val="21"/>
              </w:rPr>
              <w:t xml:space="preserve">7、平台应支持对飞行历史记录配置标签和备注，并提供检索功能，便于快速定位、查看每一条过往的飞行记录。</w:t>
            </w:r>
            <w:r/>
          </w:p>
          <w:p>
            <w:pPr>
              <w:rPr>
                <w:rFonts w:hint="eastAsia" w:ascii="宋体" w:hAnsi="宋体" w:eastAsia="宋体" w:cs="宋体"/>
                <w:sz w:val="21"/>
                <w:szCs w:val="21"/>
              </w:rPr>
            </w:pPr>
            <w:r>
              <w:rPr>
                <w:rFonts w:hint="eastAsia" w:ascii="宋体" w:hAnsi="宋体" w:eastAsia="宋体" w:cs="宋体"/>
                <w:sz w:val="21"/>
                <w:szCs w:val="21"/>
              </w:rPr>
              <w:t xml:space="preserve">8、平台应支持展示设备名称、设备编号、设备状态、保险信息等</w:t>
            </w:r>
            <w:r/>
          </w:p>
          <w:p>
            <w:pPr>
              <w:rPr>
                <w:rFonts w:hint="eastAsia" w:ascii="宋体" w:hAnsi="宋体" w:eastAsia="宋体" w:cs="宋体"/>
                <w:sz w:val="21"/>
                <w:szCs w:val="21"/>
              </w:rPr>
            </w:pPr>
            <w:r>
              <w:rPr>
                <w:rFonts w:hint="eastAsia" w:ascii="宋体" w:hAnsi="宋体" w:eastAsia="宋体" w:cs="宋体"/>
                <w:sz w:val="21"/>
                <w:szCs w:val="21"/>
              </w:rPr>
              <w:t xml:space="preserve">9、平台应支持展示分组信息、人员名称、联系方式等</w:t>
            </w:r>
            <w:r/>
          </w:p>
          <w:p>
            <w:pPr>
              <w:rPr>
                <w:rFonts w:hint="eastAsia" w:ascii="宋体" w:hAnsi="宋体" w:eastAsia="宋体" w:cs="宋体"/>
                <w:sz w:val="21"/>
                <w:szCs w:val="21"/>
              </w:rPr>
            </w:pPr>
            <w:r>
              <w:rPr>
                <w:rFonts w:hint="eastAsia" w:ascii="宋体" w:hAnsi="宋体" w:eastAsia="宋体" w:cs="宋体"/>
                <w:sz w:val="21"/>
                <w:szCs w:val="21"/>
              </w:rPr>
              <w:t xml:space="preserve">10、平台应支持为用户授权，支持添加下级组织，为下级组织指定管理员，可以管理下级组织</w:t>
            </w:r>
            <w:r/>
          </w:p>
          <w:p>
            <w:pPr>
              <w:rPr>
                <w:rFonts w:hint="eastAsia" w:ascii="宋体" w:hAnsi="宋体" w:eastAsia="宋体" w:cs="宋体"/>
                <w:sz w:val="21"/>
                <w:szCs w:val="21"/>
              </w:rPr>
            </w:pPr>
            <w:r>
              <w:rPr>
                <w:rFonts w:hint="eastAsia" w:ascii="宋体" w:hAnsi="宋体" w:eastAsia="宋体" w:cs="宋体"/>
                <w:sz w:val="21"/>
                <w:szCs w:val="21"/>
              </w:rPr>
              <w:t xml:space="preserve">11、平台须支持高德，天地图，百度等多种地图，并支持街区地图和卫星地图模式展示。</w:t>
            </w:r>
            <w:r/>
          </w:p>
          <w:p>
            <w:pPr>
              <w:rPr>
                <w:rFonts w:hint="eastAsia" w:ascii="宋体" w:hAnsi="宋体" w:eastAsia="宋体" w:cs="宋体"/>
                <w:sz w:val="21"/>
                <w:szCs w:val="21"/>
              </w:rPr>
            </w:pPr>
            <w:r>
              <w:rPr>
                <w:rFonts w:hint="eastAsia" w:ascii="宋体" w:hAnsi="宋体" w:eastAsia="宋体" w:cs="宋体"/>
                <w:sz w:val="21"/>
                <w:szCs w:val="21"/>
              </w:rPr>
              <w:t xml:space="preserve">12、平台应支持电子地图2D模式和3D模式切换</w:t>
            </w:r>
            <w:r/>
          </w:p>
          <w:p>
            <w:pPr>
              <w:rPr>
                <w:rFonts w:hint="eastAsia" w:ascii="宋体" w:hAnsi="宋体" w:eastAsia="宋体" w:cs="宋体"/>
                <w:sz w:val="21"/>
                <w:szCs w:val="21"/>
              </w:rPr>
            </w:pPr>
            <w:r>
              <w:rPr>
                <w:rFonts w:hint="eastAsia" w:ascii="宋体" w:hAnsi="宋体" w:eastAsia="宋体" w:cs="宋体"/>
                <w:sz w:val="21"/>
                <w:szCs w:val="21"/>
              </w:rPr>
              <w:t xml:space="preserve">13、平台应支持电子地图服务可提供、空域、路网、禁飞区等图层。</w:t>
            </w:r>
            <w:r/>
          </w:p>
          <w:p>
            <w:pPr>
              <w:rPr>
                <w:rFonts w:hint="eastAsia" w:ascii="宋体" w:hAnsi="宋体" w:eastAsia="宋体" w:cs="宋体"/>
                <w:sz w:val="21"/>
                <w:szCs w:val="21"/>
              </w:rPr>
            </w:pPr>
            <w:r>
              <w:rPr>
                <w:rFonts w:hint="eastAsia" w:ascii="宋体" w:hAnsi="宋体" w:eastAsia="宋体" w:cs="宋体"/>
                <w:sz w:val="21"/>
                <w:szCs w:val="21"/>
              </w:rPr>
              <w:t xml:space="preserve">14、平台应支持用户接收系统展示提醒消息，包括：设备保险到期提醒、飞行成果处理结果提醒。</w:t>
            </w:r>
            <w:r/>
          </w:p>
          <w:p>
            <w:pPr>
              <w:rPr>
                <w:rFonts w:hint="eastAsia" w:ascii="宋体" w:hAnsi="宋体" w:eastAsia="宋体" w:cs="宋体"/>
                <w:sz w:val="21"/>
                <w:szCs w:val="21"/>
              </w:rPr>
            </w:pPr>
            <w:r>
              <w:rPr>
                <w:rFonts w:hint="eastAsia" w:ascii="宋体" w:hAnsi="宋体" w:eastAsia="宋体" w:cs="宋体"/>
                <w:sz w:val="21"/>
                <w:szCs w:val="21"/>
              </w:rPr>
              <w:t xml:space="preserve">15、平台应支持任务发布，任务命名，任务执行时效性，并且和航线预设绑定。</w:t>
            </w:r>
            <w:r/>
          </w:p>
          <w:p>
            <w:pPr>
              <w:rPr>
                <w:rFonts w:hint="eastAsia" w:ascii="宋体" w:hAnsi="宋体" w:eastAsia="宋体" w:cs="宋体"/>
                <w:sz w:val="21"/>
                <w:szCs w:val="21"/>
              </w:rPr>
            </w:pPr>
            <w:r>
              <w:rPr>
                <w:rFonts w:hint="eastAsia" w:ascii="宋体" w:hAnsi="宋体" w:eastAsia="宋体" w:cs="宋体"/>
                <w:sz w:val="21"/>
                <w:szCs w:val="21"/>
              </w:rPr>
              <w:t xml:space="preserve">16、平台支持平台远程控制喊话，支持文本转语音、支持导入音频文件等</w:t>
            </w:r>
            <w:r/>
          </w:p>
          <w:p>
            <w:pPr>
              <w:rPr>
                <w:rFonts w:hint="eastAsia" w:ascii="宋体" w:hAnsi="宋体" w:eastAsia="宋体" w:cs="宋体"/>
                <w:sz w:val="21"/>
                <w:szCs w:val="21"/>
              </w:rPr>
            </w:pPr>
            <w:r>
              <w:rPr>
                <w:rFonts w:hint="eastAsia" w:ascii="宋体" w:hAnsi="宋体" w:eastAsia="宋体" w:cs="宋体"/>
                <w:sz w:val="21"/>
                <w:szCs w:val="21"/>
              </w:rPr>
              <w:t xml:space="preserve">17、通过算法模型识别到报警，无人机可自动执行飞行任务，自动喊话，喊话内容需根据识别报警类型自动调整 </w:t>
            </w:r>
            <w:r/>
          </w:p>
          <w:p>
            <w:pPr>
              <w:rPr>
                <w:rFonts w:hint="eastAsia" w:ascii="宋体" w:hAnsi="宋体" w:eastAsia="宋体" w:cs="宋体"/>
                <w:sz w:val="21"/>
                <w:szCs w:val="21"/>
              </w:rPr>
            </w:pPr>
            <w:r>
              <w:rPr>
                <w:rFonts w:hint="eastAsia" w:ascii="宋体" w:hAnsi="宋体" w:eastAsia="宋体" w:cs="宋体"/>
                <w:sz w:val="21"/>
                <w:szCs w:val="21"/>
              </w:rPr>
              <w:t xml:space="preserve">18、APP：报警事件可同步上报APP中，可看到事件类型、报警图片、实时视频、处理事件流程</w:t>
            </w:r>
            <w:r/>
          </w:p>
          <w:p>
            <w:pPr>
              <w:rPr>
                <w:rFonts w:hint="eastAsia" w:ascii="宋体" w:hAnsi="宋体" w:eastAsia="宋体" w:cs="宋体"/>
                <w:sz w:val="21"/>
                <w:szCs w:val="21"/>
              </w:rPr>
            </w:pPr>
            <w:r>
              <w:rPr>
                <w:rFonts w:hint="eastAsia" w:ascii="宋体" w:hAnsi="宋体" w:eastAsia="宋体" w:cs="宋体"/>
                <w:sz w:val="21"/>
                <w:szCs w:val="21"/>
              </w:rPr>
              <w:t xml:space="preserve">19、支持战法演练，绘制电子沙盘，绘制救援方案。</w:t>
            </w:r>
            <w:r/>
          </w:p>
        </w:tc>
        <w:tc>
          <w:tcPr>
            <w:tcW w:w="616"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sz w:val="21"/>
                <w:szCs w:val="21"/>
              </w:rPr>
              <w:t xml:space="preserve">套</w:t>
            </w:r>
            <w:r/>
          </w:p>
        </w:tc>
        <w:tc>
          <w:tcPr>
            <w:tcW w:w="848" w:type="dxa"/>
            <w:vAlign w:val="center"/>
            <w:vMerge w:val="restart"/>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jc w:val="center"/>
              <w:rPr>
                <w:rFonts w:hint="eastAsia" w:ascii="宋体" w:hAnsi="宋体" w:eastAsia="宋体" w:cs="宋体"/>
                <w:b/>
                <w:bCs/>
                <w:sz w:val="21"/>
                <w:szCs w:val="21"/>
              </w:rPr>
            </w:pPr>
            <w:r>
              <w:rPr>
                <w:rFonts w:hint="eastAsia" w:ascii="宋体" w:hAnsi="宋体" w:eastAsia="宋体" w:cs="宋体"/>
                <w:sz w:val="21"/>
                <w:szCs w:val="21"/>
              </w:rPr>
              <w:t xml:space="preserve">1</w:t>
            </w:r>
            <w:r/>
          </w:p>
        </w:tc>
      </w:tr>
      <w:tr>
        <w:trPr>
          <w:trHeight w:val="402"/>
        </w:trPr>
        <w:tc>
          <w:tcPr>
            <w:gridSpan w:val="4"/>
            <w:tcW w:w="8620" w:type="dxa"/>
            <w:vAlign w:val="center"/>
            <w:textDirection w:val="lrTb"/>
            <w:noWrap w:val="false"/>
          </w:tcPr>
          <w:p>
            <w:pPr>
              <w:rPr>
                <w:rFonts w:hint="eastAsia" w:ascii="宋体" w:hAnsi="宋体" w:eastAsia="宋体" w:cs="宋体"/>
                <w:color w:val="ee0000"/>
                <w:sz w:val="21"/>
                <w:szCs w:val="21"/>
              </w:rPr>
            </w:pPr>
            <w:r>
              <w:rPr>
                <w:rFonts w:hint="eastAsia" w:ascii="宋体" w:hAnsi="宋体" w:eastAsia="宋体" w:cs="宋体"/>
                <w:color w:val="ee0000"/>
                <w:sz w:val="21"/>
                <w:szCs w:val="21"/>
              </w:rPr>
              <w:t xml:space="preserve">（如下1-8项投标时提供软件功能演示视频）</w:t>
            </w:r>
            <w:r/>
          </w:p>
          <w:p>
            <w:pPr>
              <w:rPr>
                <w:rFonts w:hint="eastAsia" w:ascii="宋体" w:hAnsi="宋体" w:eastAsia="宋体" w:cs="宋体"/>
                <w:sz w:val="21"/>
                <w:szCs w:val="21"/>
              </w:rPr>
            </w:pPr>
            <w:r>
              <w:rPr>
                <w:rFonts w:hint="eastAsia" w:ascii="宋体" w:hAnsi="宋体" w:eastAsia="宋体" w:cs="宋体"/>
                <w:sz w:val="21"/>
                <w:szCs w:val="21"/>
              </w:rPr>
              <w:t xml:space="preserve">1、平台应支持查看过往单次飞行的详细信息，信息包括：起飞、降落、飞行轨迹（同时支持二维地图和三维地图）、飞行时拍摄的视频图像。</w:t>
            </w:r>
            <w:r/>
          </w:p>
          <w:p>
            <w:pPr>
              <w:rPr>
                <w:rFonts w:hint="eastAsia" w:ascii="宋体" w:hAnsi="宋体" w:eastAsia="宋体" w:cs="宋体"/>
                <w:sz w:val="21"/>
                <w:szCs w:val="21"/>
              </w:rPr>
            </w:pPr>
            <w:r>
              <w:rPr>
                <w:rFonts w:hint="eastAsia" w:ascii="宋体" w:hAnsi="宋体" w:eastAsia="宋体" w:cs="宋体"/>
                <w:sz w:val="21"/>
                <w:szCs w:val="21"/>
              </w:rPr>
              <w:t xml:space="preserve">2、平台应支持AR全景低空融合，高空监测地空联动一图总览，预警联动，高空指挥语音喊话，添加上报突发事件形成事件报警流程等。</w:t>
            </w:r>
            <w:r/>
          </w:p>
          <w:p>
            <w:pPr>
              <w:rPr>
                <w:rFonts w:hint="eastAsia" w:ascii="宋体" w:hAnsi="宋体" w:eastAsia="宋体" w:cs="宋体"/>
                <w:sz w:val="21"/>
                <w:szCs w:val="21"/>
              </w:rPr>
            </w:pPr>
            <w:r>
              <w:rPr>
                <w:rFonts w:hint="eastAsia" w:ascii="宋体" w:hAnsi="宋体" w:eastAsia="宋体" w:cs="宋体"/>
                <w:sz w:val="21"/>
                <w:szCs w:val="21"/>
              </w:rPr>
              <w:t xml:space="preserve">3、平台应支持网格化管理，支持事件管理网格化部署设备，可看到所属网格中发生的上报事件，逐级复核管理，智能报警事件按照网格推送报警信息</w:t>
            </w:r>
            <w:r/>
          </w:p>
          <w:p>
            <w:pPr>
              <w:rPr>
                <w:rFonts w:hint="eastAsia" w:ascii="宋体" w:hAnsi="宋体" w:eastAsia="宋体" w:cs="宋体"/>
                <w:sz w:val="21"/>
                <w:szCs w:val="21"/>
              </w:rPr>
            </w:pPr>
            <w:r>
              <w:rPr>
                <w:rFonts w:hint="eastAsia" w:ascii="宋体" w:hAnsi="宋体" w:eastAsia="宋体" w:cs="宋体"/>
                <w:sz w:val="21"/>
                <w:szCs w:val="21"/>
              </w:rPr>
              <w:t xml:space="preserve">4、平台应具备VR云境功能，可在全景图上叠加标识、增加监控标识并在全景图界面直接看到实时视频流，也可在全景图中直接人工上报生成事件。</w:t>
            </w:r>
            <w:r/>
          </w:p>
          <w:p>
            <w:pPr>
              <w:rPr>
                <w:rFonts w:hint="eastAsia" w:ascii="宋体" w:hAnsi="宋体" w:eastAsia="宋体" w:cs="宋体"/>
                <w:sz w:val="21"/>
                <w:szCs w:val="21"/>
              </w:rPr>
            </w:pPr>
            <w:r>
              <w:rPr>
                <w:rFonts w:hint="eastAsia" w:ascii="宋体" w:hAnsi="宋体" w:eastAsia="宋体" w:cs="宋体"/>
                <w:sz w:val="21"/>
                <w:szCs w:val="21"/>
              </w:rPr>
              <w:t xml:space="preserve">5、算法支持种类包含但不限于火焰报警、烟雾报警、违建报警、垃圾检测报警、人体报警、车辆识别、非机动车报警、船只报警、工程车检测、应急车道占用检测、施工检测、人员闯入检测、拥堵检测、超速行驶检测、低速行驶检测、异常停车、流动摊贩、漂浮物检测、枯木及松材线虫害检测、农作物识别、跑冒滴漏检测。支持基础算法种类更新。</w:t>
            </w:r>
            <w:r/>
          </w:p>
          <w:p>
            <w:pPr>
              <w:rPr>
                <w:rFonts w:hint="eastAsia" w:ascii="宋体" w:hAnsi="宋体" w:eastAsia="宋体" w:cs="宋体"/>
                <w:sz w:val="21"/>
                <w:szCs w:val="21"/>
              </w:rPr>
            </w:pPr>
            <w:r>
              <w:rPr>
                <w:rFonts w:hint="eastAsia" w:ascii="宋体" w:hAnsi="宋体" w:eastAsia="宋体" w:cs="宋体"/>
                <w:sz w:val="21"/>
                <w:szCs w:val="21"/>
              </w:rPr>
              <w:t xml:space="preserve">6、平台应支持根据报警事件、网格、设备、飞行次数、飞手进行数据统计。可按照日、周、月进行查询.</w:t>
            </w:r>
            <w:r/>
          </w:p>
          <w:p>
            <w:pPr>
              <w:rPr>
                <w:rFonts w:hint="eastAsia" w:ascii="宋体" w:hAnsi="宋体" w:eastAsia="宋体" w:cs="宋体"/>
                <w:sz w:val="21"/>
                <w:szCs w:val="21"/>
              </w:rPr>
            </w:pPr>
            <w:r>
              <w:rPr>
                <w:rFonts w:hint="eastAsia" w:ascii="宋体" w:hAnsi="宋体" w:eastAsia="宋体" w:cs="宋体"/>
                <w:sz w:val="21"/>
                <w:szCs w:val="21"/>
              </w:rPr>
              <w:t xml:space="preserve">7、平台应支持APP接收查看实时视频、报警信息、处置报警事件。</w:t>
            </w:r>
            <w:r/>
          </w:p>
          <w:p>
            <w:pPr>
              <w:jc w:val="left"/>
              <w:rPr>
                <w:rFonts w:hint="eastAsia" w:ascii="宋体" w:hAnsi="宋体" w:eastAsia="宋体" w:cs="宋体"/>
                <w:b/>
                <w:bCs/>
                <w:sz w:val="21"/>
                <w:szCs w:val="21"/>
              </w:rPr>
            </w:pPr>
            <w:r>
              <w:rPr>
                <w:rFonts w:hint="eastAsia" w:ascii="宋体" w:hAnsi="宋体" w:eastAsia="宋体" w:cs="宋体"/>
                <w:sz w:val="21"/>
                <w:szCs w:val="21"/>
              </w:rPr>
              <w:t xml:space="preserve">8、平台应支持在地图上直接点报警点，平台自动选择就近空闲设备到现场查看报警情况，并自动喊话，实现快速接处警。</w:t>
            </w:r>
            <w:r/>
          </w:p>
        </w:tc>
        <w:tc>
          <w:tcPr>
            <w:tcW w:w="616"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W w:w="848"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bookmarkEnd w:id="171"/>
            <w:r/>
            <w:r/>
          </w:p>
        </w:tc>
      </w:tr>
      <w:tr>
        <w:trPr>
          <w:trHeight w:val="402"/>
        </w:trPr>
        <w:tc>
          <w:tcPr>
            <w:gridSpan w:val="4"/>
            <w:tcW w:w="862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b/>
                <w:bCs/>
                <w:sz w:val="21"/>
                <w:szCs w:val="21"/>
              </w:rPr>
              <w:t xml:space="preserve">详细功能要求：</w:t>
            </w:r>
            <w:r/>
          </w:p>
        </w:tc>
        <w:tc>
          <w:tcPr>
            <w:tcW w:w="616"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W w:w="848"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05" w:type="dxa"/>
            <w:vAlign w:val="center"/>
            <w:vMerge w:val="restart"/>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无人机软件平台</w:t>
            </w:r>
            <w:r/>
          </w:p>
        </w:tc>
        <w:tc>
          <w:tcPr>
            <w:tcW w:w="6691" w:type="dxa"/>
            <w:vAlign w:val="center"/>
            <w:vMerge w:val="restart"/>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支持同时展现多个业务界面</w:t>
            </w:r>
            <w:r/>
          </w:p>
        </w:tc>
        <w:tc>
          <w:tcPr>
            <w:tcW w:w="616" w:type="dxa"/>
            <w:vAlign w:val="center"/>
            <w:vMerge w:val="continue"/>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支持以在线/总数 展示无人机数量及机场数量</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展示当前用户及IP、当前时间、上次登录时间</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支持数据大屏及飞行大屏跳转</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支持AI识别数据统计</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支持飞行次数、飞行里程的总计数展示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支持设备智能报警信息展示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支持AI智能事件接收及详情查看</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支持展示电池列表、在线电池和电池告警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电池列表：电池序列号、电池序号、设备名称、电池温度、电池电压、最大循环数、当前循环数、状态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在线电池：设备名称、设备型号、电池序列号、电池序号、当前电量、当前循环次数</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电池告警：电池序列号、电池序号、当前循环次数</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支持页面快速跳转</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支持保单增加、删除、编辑、查询操作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查询功能支持按设备名称、设备厂家、合同编号、合同名称、保险公司、保险类型和保险状态搜索，并支持查询重置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支持单个保单进行编辑、删除操作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页面支持设置到期提现</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支持页面快速跳转</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支持设备升级包统一管理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平台支持远程升级机库设备</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支持实时展示机库升级进度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支持展示设备升级记录详情日志</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支持用户管理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支持角色管理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支持组织管理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支持飞手管理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支持通道标注</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支持备降点维护</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AR标签标注支持统一管理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事件分类支持统一管理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支持自定义设备故障信息接收与关闭</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支持平台个性化标题设置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支持平台logo自定义</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支持NTP校时、本地校时；</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支持飞行需求新增、审批、飞行成果内容查看等</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支持国标方式接入机库</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支持AI智能配置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支持历史轨迹整体预览及跳转查看详情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支持任务信息整体预览及跳转查看详情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支持航线整体预览及跳转查看详情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支持三维模型、二维地图成果整体预览及跳转查看详情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支持展示系统信息，包含设备数据、图片存储空间及视频存储空调，已用/总数，可用</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支持用户查看版本信息、后台管理和退出登录</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支持在离线无人机、以在线/总数 展示无人机数量及机场数量</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支持在地图上显示所有在线无人机及机库的实时位置、设备名称，并每秒更新一次</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支持12个月里程统计的展示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支持任务信息内容及总数量展示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支持飞行次数、飞行里程、飞行时长的总计数展示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支持24小时内识别照片记录展示，并标注拍摄日期和拍摄时间，并支持全屏查看</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点击地图设备图标，弹出窗口，显示拍摄日期、拍摄时间、所属组织、分辨率、且支持录像及抓拍</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平台支持按当前分辨率全屏展示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支持地图缩小、放大，并支持二维、2.5D视图及三维展示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支持筛选和搜索一体，支持筛选搜索（在线、离线、全部），默认在线，同时支持文本输入搜索</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设备标注支持标注点线面，均支持五种颜色选择（蓝、绿、黄、红、紫），默认蓝色</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机场弹窗支持展示设备名称、系统状态、消息通知，天气、风力</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支持系统状态通知：正常状态、异常状态、无法执行飞行任务状态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操作弹窗支持展示机场搜量、机场存储（占用/总量）、标定状态、飞行器存储（占用/总量）、舱内温度、空调状态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操作弹窗支持展示飞行器夜灯（开关）、备降转移高（高度，单位M）、运行模式（开关）、限高（高度，单位M）、限远（开关）、避障（开关）</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操作弹窗支持限高范围80-500m，当输入高度低于最低限度，将自动调整为最低限度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操作弹窗支持限远范围15-8000m，当输入高度低于最低限度，将自动调整为最低限度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操作弹窗支持飞行器夜灯、避障、运行模式切换状态时，弹窗提示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远程调试内容支持六组开关：机舱、推杆、系统、4G、电源、电池</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远程调试支持当远程调试开关关闭时，内容不展示，机场系统状态为设备空闲中</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支持远程调试下，飞行控制无法打开，提示框通知</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支持远程调试下，飞行器默认关机，关机状态下，机场操作无法进行（运动模式除外）</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支持远程调试中，开关启动时增加加载显示，并在该弹窗下面显示当前该开关的状态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飞机弹窗支持系统状态通知：正常状态、异常状态、无法执行飞行任务状态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飞机弹窗支持展示机设备名称、飞机状态、系统通知，下侧展示WIFI、电量、GPS数量，距HOME点距离，飞行高度、垂直速度、水平速度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飞机弹窗支持视频切换，支持飞行相机和挂载项目切换，支持负载控制</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视频播放支持变焦、红外切换，支持超清、高清、标清切换、支持设置、重播、全屏操作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视频播放支持进度条展示，根据飞行时间、距离划分出飞行阶段</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负载控制支持云台控制</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负载控制支持展示能力集：一键90度、一键回中、变倍、聚焦、光圈加减，根据协议展示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飞机控制支持表盘形式展示飞行航线角（°）、翻滚角（°）</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飞机控制支持竖向进度条展示俯仰角（°）、飞行高度（M）</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飞机控制支持左右转向、上下左右移动按钮，支持上升、下降、拍照录像按钮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飞机控制支持选择目标点，可在地图上定位选择</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飞行控制支持暂停、返航、飞行设置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飞行控制支持暂停、返航、飞行设置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飞行设置支持展示失联动作：退出航线并返航、继续执行航线任务</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飞行设置支持安全高度设置：目标高度（80m-500m）、飞行高度（80m-500m），当用户设置高度低于80m时，弹窗提示，并自动调整为最低限度80m</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飞行控制支持一键起飞，并支持飞行前检查，包括飞行设置和目标点，该页面支持修改，移开即生效，并提示设置成功</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支持事件和消息通知，支持筛选和输入搜索</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事件支持展示事件类型、事件图片和描述信息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消息支持展示提醒和告警类型，支持图标区分</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哨兵设备支持查看设备通道，点击设备通道，在地图上展示视频播放页面</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哨兵设备支持在线、离线、全部搜索，支持文本输入搜索，默认在线</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支持根据设备名称、日期范围及备注查询，并支持查询重置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支持轨迹收藏并只看收藏内容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支持历史轨迹以平铺或列表展示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支持展示总飞行次数、总飞行里程和总飞行时长</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支持单个轨迹查看，跟踪视角、上方视角、侧方视角三个视角切换，地图与轨迹视频切换，展示飞行器姿态信息、飞行信息、基本信息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支持任务增加、删除、编辑、查询操作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查询功能支持任务名称、航线名称、航线日期、执行机场和任务状态搜索，并支持查询重置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新增功能支持指定任务（立即执行、定时任务、周期任务）和指定航线失联动作（退出航线并返航、继续执行航线任务）</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支持查看单任务详情，跳转到历史轨迹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支持航线增加、删除、编辑、查询操作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支持航点航线以平铺或列表展示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查询功能支持航线名称、航线类型、航线日期和设备型号搜索，并支持查询重置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新增功能支持任务设置、航线设置和航点设置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任务设置支持任务航线名称、飞行器与负载、负载设置、任务完成动作、全局返航高度、失控选项及失控动作类型</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航线设置支持飞向首航点模式、安全起飞高度、高度模式、相对起飞点高度、全局航线速度、全局航点类型、云台俯仰角控制模式和飞行器偏航角模式</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航点设置支持选择航点、航点经纬度与相对起飞高度、航点动作、飞行器偏航角模式、航点飞行速度、航点类型和是否跟随航线</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航点动作支持飞行器动作（悬停动作、飞行器偏航）、云台动作（旋转云台偏航角、旋转云台俯仰角）、相机动作（拍照、开始录像）</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支持查看单航线详情，跳转到成果展示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支持地图缩小、放大，并支持二维、2.5D视图及三维展示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平台支持按当前分辨率全屏展示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支持按2D、3D区分展示模型成果</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支持按模型名称、日期范围、行政区查询，并支持查询重置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支持单项模型成果进行详情展示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支持地图缩小、放大，并支持二维、2.5D视图及三维展示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支持模型成果以平铺或列表展示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支持地图种类、地图状态和地图类型选择</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支持经纬度、地图点位显示级别、地图最小、最大显示级别</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支持页面竖向展示能力集，并设有标注按钮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地图图层支持亮度调节和标记显示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地图类型支持高德电子图、高德影像图、天地电子图、天地影像图</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叠加图层支持路网和禁飞区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支持地图直接标注，并支持编辑名称、颜色，展示水平面积和作者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支持报警事件接收、处理及详情查看</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支持在地图上展示报警事件图标</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支持定位到报警事件地图上对应的位置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支持展示网格信息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支持在地图上展示机库信息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支持事件来源、事件类型、事件处置状态条件检索事件信息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支持根据网格分类事件</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支持根据事件处理状态统计对应事件总数</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事件处理支持上传图片&amp;视频信息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支持网格信息导入</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支持事件网格划分层级</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支持AI识别事件、对比标注事件接收配置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支持自定义表格密度自定义配置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支持地图上展示警情位置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地图警情事件支持自适应聚拢</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地图上支持展示机库信息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支持根据报警类型、报警等级、时间范围检索警情信息</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支持查看警情详情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支持自定义警情模板</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警情模板支持自定义开启关闭</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支持警情图标、列表切换展示</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支持自定义警情的报警等级</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支持自定义警情配置</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支持自定义警情分类</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支持查看警情历史记录</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支持查看警情管理飞行任务详情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支持新增比对计划</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支持人工比对/AI比对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支持单期、两期成果比对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支持关联多种比对标签类型</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AI比对计划支持周期比对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支持实时展示AI比对进度</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同一个比对任务，支持多次重复进行比对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支持查看比对详情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支持下载比对成果详情</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支持根据比对计划名称、任务名称、比对策略、比对方式等检索比对任务</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156</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支持比对任务审批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157</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支持比对任务推送</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158</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人像识别，人，机动车识别，车牌识别等</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159</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哨兵(摄像机)与飞机融合</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160</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支持展示机库、飞机和负载</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161</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支持单机库编辑：位置信息、镜头数量、远程调试、气象信息、备降点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162</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支持单飞机编辑：飞行器偏航角、全局航点、负载、失控动作、首点起飞、任务完成动作、失控选项、位置信息、镜头数量、远程调试、气象信息、备降点</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支持单负载编辑：飞行器偏航角、全局航点、负载、失控动作、首点起飞、任务完成动作、失控选项、位置信息、镜头数量、远程调试、气象信息、备降点、云台姿态、镜头、挂载类型、云台控制、俯仰角范围</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173</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支持国标级联</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174</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支持平台上下级级联</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175</w:t>
            </w:r>
            <w:r/>
          </w:p>
        </w:tc>
        <w:tc>
          <w:tcPr>
            <w:tcW w:w="1105"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支持分布式部署</w:t>
            </w:r>
            <w:r/>
          </w:p>
        </w:tc>
        <w:tc>
          <w:tcPr>
            <w:tcW w:w="616"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5.2</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w:t>
            </w:r>
            <w:r>
              <w:rPr>
                <w:rFonts w:hint="eastAsia" w:ascii="宋体" w:hAnsi="宋体" w:eastAsia="宋体" w:cs="宋体"/>
                <w:b/>
                <w:bCs/>
                <w:color w:val="ee0000"/>
                <w:sz w:val="21"/>
                <w:szCs w:val="21"/>
              </w:rPr>
              <w:t xml:space="preserve">（核心产品）</w:t>
            </w:r>
            <w:r/>
          </w:p>
        </w:tc>
        <w:tc>
          <w:tcPr>
            <w:tcW w:w="6691" w:type="dxa"/>
            <w:vAlign w:val="center"/>
            <w:textDirection w:val="lrTb"/>
            <w:noWrap/>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对称电机轴距≤500mm</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外形尺寸（不含桨叶）≤380mm×420mm×220mm</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无人机裸机重量≤1900g</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无人机最大起飞重量≥2000g</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▲无人机需具有长焦、广角、红外相机，激光测距功能</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感知功能：无人机需具有前视、后视、侧视、上视、下视感知功能</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最大作业半径≥8公里</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最长飞行时间≥50分钟</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最大可抗风速≥12m/s</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防护等级：≥IP55防护等级</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广角有效像素：≥4800万</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长焦相机像素：≥4800万</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长焦镜头最大变焦：≥110倍</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▲红外相机录像分辨率：红外相机录像分辨率≥1280×1024@30fps</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红外相机变焦倍数：红外相机变焦倍数≥28倍</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激光测距：正入射量程≥1800 米 (1 HZ) @20% 反射率目标*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w:t>
            </w:r>
            <w:r/>
          </w:p>
        </w:tc>
        <w:tc>
          <w:tcPr>
            <w:tcW w:w="1105" w:type="dxa"/>
            <w:vAlign w:val="center"/>
            <w:textDirection w:val="lrTb"/>
            <w:noWrap/>
          </w:tcPr>
          <w:p>
            <w:pPr>
              <w:jc w:val="left"/>
              <w:widowControl/>
              <w:rPr>
                <w:rFonts w:hint="eastAsia" w:ascii="宋体" w:hAnsi="宋体" w:eastAsia="宋体" w:cs="宋体"/>
                <w:sz w:val="21"/>
                <w:szCs w:val="21"/>
                <w:lang w:eastAsia="zh-CN"/>
              </w:rPr>
            </w:pPr>
            <w:r/>
            <w:bookmarkStart w:id="172" w:name="OLE_LINK4"/>
            <w:r>
              <w:rPr>
                <w:rFonts w:hint="eastAsia" w:ascii="宋体" w:hAnsi="宋体" w:eastAsia="宋体" w:cs="宋体"/>
                <w:sz w:val="21"/>
                <w:szCs w:val="21"/>
              </w:rPr>
              <w:t xml:space="preserve">无人机机库</w:t>
            </w:r>
            <w:bookmarkEnd w:id="172"/>
            <w:r/>
            <w:r/>
          </w:p>
        </w:tc>
        <w:tc>
          <w:tcPr>
            <w:tcW w:w="6691" w:type="dxa"/>
            <w:vAlign w:val="center"/>
            <w:textDirection w:val="lrTb"/>
            <w:noWrap/>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具备自动开关合功能，能够容纳配套购买的无人机，可在室外安装</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具备无人机充电功能</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外形尺寸：外形尺寸≤长650毫米，宽750毫米，高800毫米</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▲IP防护等级：IP防护等级设备≥IP55的防护等级；</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▲传感器：设备内置风速、雨量、环境温度、水浸、舱内温度、舱内湿度传感器；</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设备工作温度范围：设备工作温度范围≥-30°C至50°C;</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设备最大允许降落风速：设备最大允许降落风速≥12米/秒。</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整机重量：不包含飞行器，设备整机重量≤50千克</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设备最大运行海拔高度：设备最大运行海拔高度≥4500米</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空调系统：压缩机空调</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5.4</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无人机电池</w:t>
            </w:r>
            <w:r/>
          </w:p>
        </w:tc>
        <w:tc>
          <w:tcPr>
            <w:tcW w:w="6691" w:type="dxa"/>
            <w:vAlign w:val="center"/>
            <w:textDirection w:val="lrTb"/>
            <w:noWrap/>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电池容量：≥6700毫安时</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电压≥20伏</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电池重量：电池重量≥600g</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循环次数：≥400次</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充电温度范围：≥5℃至45℃</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支持低温充电</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5.5</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探照灯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重量：设备重量≤132g(含支架）</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尺寸:≤141mmx170mmx50mm（含支架）</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最大功率:≤40瓦</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工作方式:常亮、爆闪</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云台结构设计范围：俯仰：-140°至50°</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云台可控转动范围：俯仰：-90°至35°</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工作环境温度：-20℃至50℃</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5.6</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三合一挂载</w:t>
            </w:r>
            <w:r/>
          </w:p>
        </w:tc>
        <w:tc>
          <w:tcPr>
            <w:tcW w:w="6691" w:type="dxa"/>
            <w:vAlign w:val="center"/>
            <w:textDirection w:val="lrTb"/>
            <w:noWrap/>
          </w:tcPr>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重量：设备重量≤100克（含支架）</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尺寸:≤121mmx74mmx61mm（含支架）</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最大功率:≤20瓦</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有效广播距离:≥300米</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最大响度：在1米处可达110分贝以上</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工作环境温度：-20℃至50℃</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广播方式：实时喊话、录音喊话、媒体导入、文字转语音</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5.7</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无人机及值守平台保险</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原厂机损险，无人机生产厂商</w:t>
            </w:r>
            <w:r>
              <w:rPr>
                <w:rFonts w:hint="eastAsia" w:ascii="宋体" w:hAnsi="宋体" w:eastAsia="宋体" w:cs="宋体"/>
                <w:b w:val="0"/>
                <w:bCs w:val="0"/>
                <w:color w:val="auto"/>
                <w:sz w:val="21"/>
                <w:szCs w:val="21"/>
                <w:highlight w:val="none"/>
              </w:rPr>
              <w:t xml:space="preserve">提供原厂三年保单，</w:t>
            </w:r>
            <w:r>
              <w:rPr>
                <w:rFonts w:hint="eastAsia" w:ascii="宋体" w:hAnsi="宋体" w:eastAsia="宋体" w:cs="宋体"/>
                <w:sz w:val="21"/>
                <w:szCs w:val="21"/>
                <w:highlight w:val="none"/>
              </w:rPr>
              <w:t xml:space="preserve">为飞行器及值守平台提供一定保障额度内因产品意外损坏所产生的维修服务或置换服务，无免赔额，无需支付其他费用。</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2、提供的服务应涵盖意外进水，碰撞跌落，</w:t>
            </w:r>
            <w:r>
              <w:rPr>
                <w:rFonts w:hint="eastAsia" w:ascii="宋体" w:hAnsi="宋体" w:eastAsia="宋体" w:cs="宋体"/>
                <w:sz w:val="21"/>
                <w:szCs w:val="21"/>
              </w:rPr>
              <w:t xml:space="preserve">信号干扰，操作失误等意外状况导致的飞行器损坏</w:t>
            </w:r>
            <w:r>
              <w:rPr>
                <w:rFonts w:hint="eastAsia" w:ascii="宋体" w:hAnsi="宋体" w:cs="宋体"/>
                <w:sz w:val="21"/>
                <w:szCs w:val="21"/>
                <w:lang w:eastAsia="zh-CN"/>
              </w:rPr>
              <w:t xml:space="preserve">。</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3、服务应提供保障额度内不限次数的免费维修或置换服务，直至保障额度用完或保障期限到期，无须垫付维修或置换费用</w:t>
            </w:r>
            <w:r>
              <w:rPr>
                <w:rFonts w:hint="eastAsia" w:ascii="宋体" w:hAnsi="宋体" w:cs="宋体"/>
                <w:sz w:val="21"/>
                <w:szCs w:val="21"/>
                <w:lang w:eastAsia="zh-CN"/>
              </w:rPr>
              <w:t xml:space="preserve">。</w:t>
            </w:r>
            <w:r/>
          </w:p>
          <w:p>
            <w:pPr>
              <w:jc w:val="left"/>
              <w:widowControl/>
              <w:rPr>
                <w:rFonts w:hint="eastAsia" w:ascii="宋体" w:hAnsi="宋体" w:cs="宋体"/>
                <w:sz w:val="21"/>
                <w:szCs w:val="21"/>
                <w:lang w:eastAsia="zh-CN"/>
              </w:rPr>
            </w:pPr>
            <w:r>
              <w:rPr>
                <w:rFonts w:hint="eastAsia" w:ascii="宋体" w:hAnsi="宋体" w:eastAsia="宋体" w:cs="宋体"/>
                <w:sz w:val="21"/>
                <w:szCs w:val="21"/>
              </w:rPr>
              <w:t xml:space="preserve">4、服务应于原厂进行维修或置换，维修或置换服务均使用原厂配件，且每次维修或置换均应出具原厂报价单</w:t>
            </w:r>
            <w:r>
              <w:rPr>
                <w:rFonts w:hint="eastAsia" w:ascii="宋体" w:hAnsi="宋体" w:cs="宋体"/>
                <w:sz w:val="21"/>
                <w:szCs w:val="21"/>
                <w:lang w:eastAsia="zh-CN"/>
              </w:rPr>
              <w:t xml:space="preserve">。</w:t>
            </w:r>
            <w:r/>
          </w:p>
          <w:p>
            <w:pPr>
              <w:jc w:val="left"/>
              <w:widowControl/>
              <w:rPr>
                <w:rFonts w:hint="eastAsia" w:ascii="宋体" w:hAnsi="宋体" w:cs="宋体"/>
                <w:sz w:val="21"/>
                <w:szCs w:val="21"/>
                <w:lang w:eastAsia="zh-CN"/>
              </w:rPr>
            </w:pPr>
            <w:r>
              <w:rPr>
                <w:rFonts w:hint="eastAsia" w:ascii="宋体" w:hAnsi="宋体" w:cs="宋体"/>
                <w:sz w:val="21"/>
                <w:szCs w:val="21"/>
                <w:lang w:eastAsia="zh-CN"/>
              </w:rPr>
              <w:t xml:space="preserve">本次采购无人机原厂保险有效期三年，项目需保障五年保险服务，剩余两年保险由中标</w:t>
            </w:r>
            <w:r>
              <w:rPr>
                <w:rFonts w:hint="eastAsia" w:ascii="宋体" w:hAnsi="宋体" w:cs="宋体"/>
                <w:sz w:val="21"/>
                <w:szCs w:val="21"/>
                <w:lang w:val="en-US" w:eastAsia="zh-CN"/>
              </w:rPr>
              <w:t xml:space="preserve">人</w:t>
            </w:r>
            <w:r>
              <w:rPr>
                <w:rFonts w:hint="eastAsia" w:ascii="宋体" w:hAnsi="宋体" w:cs="宋体"/>
                <w:sz w:val="21"/>
                <w:szCs w:val="21"/>
                <w:lang w:eastAsia="zh-CN"/>
              </w:rPr>
              <w:t xml:space="preserve">全权负责投保并承担全部费用，所有保险期限均从项目验收合格后开始计算，中标单位须确保保险合规有效、无缝接续。</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5.8</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无人机三者保险</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第三者责任险100万、无免赔额</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9</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无人机基建及部署安装</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无人机及机场安装调试，系统接入等</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0</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无人机安装租赁费</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无人机安装租赁服务费，5年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1</w:t>
            </w:r>
            <w:r/>
          </w:p>
        </w:tc>
        <w:tc>
          <w:tcPr>
            <w:tcW w:w="1105"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231</w:t>
            </w:r>
            <w:r/>
          </w:p>
        </w:tc>
      </w:tr>
      <w:tr>
        <w:trPr>
          <w:trHeight w:val="402"/>
        </w:trPr>
        <w:tc>
          <w:tcPr>
            <w:gridSpan w:val="2"/>
            <w:tcW w:w="824"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12</w:t>
            </w:r>
            <w:r/>
          </w:p>
        </w:tc>
        <w:tc>
          <w:tcPr>
            <w:tcW w:w="1105"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276</w:t>
            </w:r>
            <w:r/>
          </w:p>
        </w:tc>
      </w:tr>
      <w:tr>
        <w:trPr>
          <w:trHeight w:val="402"/>
        </w:trPr>
        <w:tc>
          <w:tcPr>
            <w:gridSpan w:val="2"/>
            <w:tcW w:w="824"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3</w:t>
            </w:r>
            <w:r/>
          </w:p>
        </w:tc>
        <w:tc>
          <w:tcPr>
            <w:tcW w:w="110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5G无人机终端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轻量化天线, MMCX，2/3/4/5G， LTE-TDD/LTE-FDD/NR(sub6G)</w:t>
            </w:r>
            <w:r>
              <w:rPr>
                <w:rFonts w:hint="eastAsia" w:ascii="宋体" w:hAnsi="宋体" w:eastAsia="宋体" w:cs="宋体"/>
                <w:sz w:val="21"/>
                <w:szCs w:val="21"/>
              </w:rPr>
              <w:br/>
            </w:r>
            <w:r>
              <w:rPr>
                <w:rFonts w:hint="eastAsia" w:ascii="宋体" w:hAnsi="宋体" w:eastAsia="宋体" w:cs="宋体"/>
                <w:sz w:val="21"/>
                <w:szCs w:val="21"/>
              </w:rPr>
              <w:t xml:space="preserve">SIM卡 Nano-SIM接口，内置eSIM</w:t>
            </w:r>
            <w:r>
              <w:rPr>
                <w:rFonts w:hint="eastAsia" w:ascii="宋体" w:hAnsi="宋体" w:eastAsia="宋体" w:cs="宋体"/>
                <w:sz w:val="21"/>
                <w:szCs w:val="21"/>
              </w:rPr>
              <w:br/>
            </w:r>
            <w:r>
              <w:rPr>
                <w:rFonts w:hint="eastAsia" w:ascii="宋体" w:hAnsi="宋体" w:eastAsia="宋体" w:cs="宋体"/>
                <w:sz w:val="21"/>
                <w:szCs w:val="21"/>
              </w:rPr>
              <w:t xml:space="preserve">TTL 高速TTL接口，支持标准串口速度，定制速率最高支持1.5Mbps</w:t>
            </w:r>
            <w:r>
              <w:rPr>
                <w:rFonts w:hint="eastAsia" w:ascii="宋体" w:hAnsi="宋体" w:eastAsia="宋体" w:cs="宋体"/>
                <w:sz w:val="21"/>
                <w:szCs w:val="21"/>
              </w:rPr>
              <w:br/>
            </w:r>
            <w:r>
              <w:rPr>
                <w:rFonts w:hint="eastAsia" w:ascii="宋体" w:hAnsi="宋体" w:eastAsia="宋体" w:cs="宋体"/>
                <w:sz w:val="21"/>
                <w:szCs w:val="21"/>
              </w:rPr>
              <w:t xml:space="preserve">LED指示灯 三色指示灯，运行状态及网络状态指示</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六、哨兵系统</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60"/>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支路来车预警一体机</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微波雷达感应行人/车辆检测。</w:t>
            </w:r>
            <w:r>
              <w:rPr>
                <w:rFonts w:hint="eastAsia" w:ascii="宋体" w:hAnsi="宋体" w:eastAsia="宋体" w:cs="宋体"/>
                <w:sz w:val="21"/>
                <w:szCs w:val="21"/>
              </w:rPr>
              <w:br/>
            </w:r>
            <w:r>
              <w:rPr>
                <w:rFonts w:hint="eastAsia" w:ascii="宋体" w:hAnsi="宋体" w:eastAsia="宋体" w:cs="宋体"/>
                <w:sz w:val="21"/>
                <w:szCs w:val="21"/>
              </w:rPr>
              <w:t xml:space="preserve">含1台400万全彩枪型摄像机。</w:t>
            </w:r>
            <w:r>
              <w:rPr>
                <w:rFonts w:hint="eastAsia" w:ascii="宋体" w:hAnsi="宋体" w:eastAsia="宋体" w:cs="宋体"/>
                <w:sz w:val="21"/>
                <w:szCs w:val="21"/>
              </w:rPr>
              <w:br/>
            </w:r>
            <w:r>
              <w:rPr>
                <w:rFonts w:hint="eastAsia" w:ascii="宋体" w:hAnsi="宋体" w:eastAsia="宋体" w:cs="宋体"/>
                <w:sz w:val="21"/>
                <w:szCs w:val="21"/>
              </w:rPr>
              <w:t xml:space="preserve">支持爆闪灯功闪烁提醒、支持语音提醒。</w:t>
            </w:r>
            <w:r>
              <w:rPr>
                <w:rFonts w:hint="eastAsia" w:ascii="宋体" w:hAnsi="宋体" w:eastAsia="宋体" w:cs="宋体"/>
                <w:sz w:val="21"/>
                <w:szCs w:val="21"/>
              </w:rPr>
              <w:br/>
            </w:r>
            <w:r>
              <w:rPr>
                <w:rFonts w:hint="eastAsia" w:ascii="宋体" w:hAnsi="宋体" w:eastAsia="宋体" w:cs="宋体"/>
                <w:sz w:val="21"/>
                <w:szCs w:val="21"/>
              </w:rPr>
              <w:t xml:space="preserve">支持LED屏幕提醒</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r>
      <w:tr>
        <w:trPr>
          <w:trHeight w:val="413"/>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设备基础</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约</w:t>
            </w:r>
            <w:r>
              <w:rPr>
                <w:rFonts w:hint="eastAsia" w:ascii="宋体" w:hAnsi="宋体" w:eastAsia="宋体" w:cs="宋体"/>
                <w:sz w:val="21"/>
                <w:szCs w:val="21"/>
              </w:rPr>
              <w:t xml:space="preserve">800*800*1000mm,C30商砼（根据现场实际设备尺寸优化）</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管道直埋敷设，含管道敷设、线路敷设、开挖、回填、垃圾外运、安全防护、路面(绿化)破坏及恢复等一切费用，埋深不低于700mm，详见图纸，满足设计及使用需求。</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管道手井</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预制手井，详见图纸</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光纤终端盒</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4口满配单模，包含尾纤</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光纤收发器</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千兆3公里，一光一电</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室外光缆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国标GYTA-4</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PE管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国标DN32，2mm厚</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534.6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钢管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SC32，3.5mm厚，含PE管接头</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波纹管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AD25</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710.6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国标室外六类防水网线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919.2</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七、防疲劳系统</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全彩公路激光灯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 产品名称：高速公路激光灯</w:t>
            </w:r>
            <w:r>
              <w:rPr>
                <w:rFonts w:hint="eastAsia" w:ascii="宋体" w:hAnsi="宋体" w:eastAsia="宋体" w:cs="宋体"/>
                <w:sz w:val="21"/>
                <w:szCs w:val="21"/>
              </w:rPr>
              <w:br/>
            </w:r>
            <w:r>
              <w:rPr>
                <w:rFonts w:hint="eastAsia" w:ascii="宋体" w:hAnsi="宋体" w:eastAsia="宋体" w:cs="宋体"/>
                <w:sz w:val="21"/>
                <w:szCs w:val="21"/>
              </w:rPr>
              <w:t xml:space="preserve">2 波长：绿光530</w:t>
            </w:r>
            <w:r>
              <w:rPr>
                <w:rFonts w:hint="eastAsia" w:ascii="宋体" w:hAnsi="宋体" w:eastAsia="宋体" w:cs="宋体"/>
                <w:sz w:val="21"/>
                <w:szCs w:val="21"/>
              </w:rPr>
              <w:br/>
            </w:r>
            <w:r>
              <w:rPr>
                <w:rFonts w:hint="eastAsia" w:ascii="宋体" w:hAnsi="宋体" w:eastAsia="宋体" w:cs="宋体"/>
                <w:sz w:val="21"/>
                <w:szCs w:val="21"/>
              </w:rPr>
              <w:t xml:space="preserve">3 输出电压/电流：12V/220v</w:t>
            </w:r>
            <w:r>
              <w:rPr>
                <w:rFonts w:hint="eastAsia" w:ascii="宋体" w:hAnsi="宋体" w:eastAsia="宋体" w:cs="宋体"/>
                <w:sz w:val="21"/>
                <w:szCs w:val="21"/>
              </w:rPr>
              <w:br/>
            </w:r>
            <w:r>
              <w:rPr>
                <w:rFonts w:hint="eastAsia" w:ascii="宋体" w:hAnsi="宋体" w:eastAsia="宋体" w:cs="宋体"/>
                <w:sz w:val="21"/>
                <w:szCs w:val="21"/>
              </w:rPr>
              <w:t xml:space="preserve">4 功率: 6W</w:t>
            </w:r>
            <w:r>
              <w:rPr>
                <w:rFonts w:hint="eastAsia" w:ascii="宋体" w:hAnsi="宋体" w:eastAsia="宋体" w:cs="宋体"/>
                <w:sz w:val="21"/>
                <w:szCs w:val="21"/>
              </w:rPr>
              <w:br/>
            </w:r>
            <w:r>
              <w:rPr>
                <w:rFonts w:hint="eastAsia" w:ascii="宋体" w:hAnsi="宋体" w:eastAsia="宋体" w:cs="宋体"/>
                <w:sz w:val="21"/>
                <w:szCs w:val="21"/>
              </w:rPr>
              <w:t xml:space="preserve">5 启动时间：＜0.5S</w:t>
            </w:r>
            <w:r>
              <w:rPr>
                <w:rFonts w:hint="eastAsia" w:ascii="宋体" w:hAnsi="宋体" w:eastAsia="宋体" w:cs="宋体"/>
                <w:sz w:val="21"/>
                <w:szCs w:val="21"/>
              </w:rPr>
              <w:br/>
            </w:r>
            <w:r>
              <w:rPr>
                <w:rFonts w:hint="eastAsia" w:ascii="宋体" w:hAnsi="宋体" w:eastAsia="宋体" w:cs="宋体"/>
                <w:sz w:val="21"/>
                <w:szCs w:val="21"/>
              </w:rPr>
              <w:t xml:space="preserve">6 控制模式2种：常亮和频闪</w:t>
            </w:r>
            <w:r>
              <w:rPr>
                <w:rFonts w:hint="eastAsia" w:ascii="宋体" w:hAnsi="宋体" w:eastAsia="宋体" w:cs="宋体"/>
                <w:sz w:val="21"/>
                <w:szCs w:val="21"/>
              </w:rPr>
              <w:br/>
            </w:r>
            <w:r>
              <w:rPr>
                <w:rFonts w:hint="eastAsia" w:ascii="宋体" w:hAnsi="宋体" w:eastAsia="宋体" w:cs="宋体"/>
                <w:sz w:val="21"/>
                <w:szCs w:val="21"/>
              </w:rPr>
              <w:t xml:space="preserve">7 防护等级：IP68</w:t>
            </w:r>
            <w:r>
              <w:rPr>
                <w:rFonts w:hint="eastAsia" w:ascii="宋体" w:hAnsi="宋体" w:eastAsia="宋体" w:cs="宋体"/>
                <w:sz w:val="21"/>
                <w:szCs w:val="21"/>
              </w:rPr>
              <w:br/>
            </w:r>
            <w:r>
              <w:rPr>
                <w:rFonts w:hint="eastAsia" w:ascii="宋体" w:hAnsi="宋体" w:eastAsia="宋体" w:cs="宋体"/>
                <w:sz w:val="21"/>
                <w:szCs w:val="21"/>
              </w:rPr>
              <w:t xml:space="preserve">8 激光等级：Class 3B</w:t>
            </w:r>
            <w:r>
              <w:rPr>
                <w:rFonts w:hint="eastAsia" w:ascii="宋体" w:hAnsi="宋体" w:eastAsia="宋体" w:cs="宋体"/>
                <w:sz w:val="21"/>
                <w:szCs w:val="21"/>
              </w:rPr>
              <w:br/>
            </w:r>
            <w:r>
              <w:rPr>
                <w:rFonts w:hint="eastAsia" w:ascii="宋体" w:hAnsi="宋体" w:eastAsia="宋体" w:cs="宋体"/>
                <w:sz w:val="21"/>
                <w:szCs w:val="21"/>
              </w:rPr>
              <w:t xml:space="preserve">9 耗电功率：35瓦</w:t>
            </w:r>
            <w:r>
              <w:rPr>
                <w:rFonts w:hint="eastAsia" w:ascii="宋体" w:hAnsi="宋体" w:eastAsia="宋体" w:cs="宋体"/>
                <w:sz w:val="21"/>
                <w:szCs w:val="21"/>
              </w:rPr>
              <w:br/>
            </w:r>
            <w:r>
              <w:rPr>
                <w:rFonts w:hint="eastAsia" w:ascii="宋体" w:hAnsi="宋体" w:eastAsia="宋体" w:cs="宋体"/>
                <w:sz w:val="21"/>
                <w:szCs w:val="21"/>
              </w:rPr>
              <w:t xml:space="preserve">10 使用环境温度 ：-40℃-60℃   </w:t>
            </w:r>
            <w:r>
              <w:rPr>
                <w:rFonts w:hint="eastAsia" w:ascii="宋体" w:hAnsi="宋体" w:eastAsia="宋体" w:cs="宋体"/>
                <w:sz w:val="21"/>
                <w:szCs w:val="21"/>
              </w:rPr>
              <w:br/>
            </w:r>
            <w:r>
              <w:rPr>
                <w:rFonts w:hint="eastAsia" w:ascii="宋体" w:hAnsi="宋体" w:eastAsia="宋体" w:cs="宋体"/>
                <w:sz w:val="21"/>
                <w:szCs w:val="21"/>
              </w:rPr>
              <w:t xml:space="preserve">11 输入电压：12V/220</w:t>
            </w:r>
            <w:r>
              <w:rPr>
                <w:rFonts w:hint="eastAsia" w:ascii="宋体" w:hAnsi="宋体" w:eastAsia="宋体" w:cs="宋体"/>
                <w:sz w:val="21"/>
                <w:szCs w:val="21"/>
              </w:rPr>
              <w:br/>
            </w:r>
            <w:r>
              <w:rPr>
                <w:rFonts w:hint="eastAsia" w:ascii="宋体" w:hAnsi="宋体" w:eastAsia="宋体" w:cs="宋体"/>
                <w:sz w:val="21"/>
                <w:szCs w:val="21"/>
              </w:rPr>
              <w:t xml:space="preserve">12 投射距离：≥4000m</w:t>
            </w:r>
            <w:r>
              <w:rPr>
                <w:rFonts w:hint="eastAsia" w:ascii="宋体" w:hAnsi="宋体" w:eastAsia="宋体" w:cs="宋体"/>
                <w:sz w:val="21"/>
                <w:szCs w:val="21"/>
              </w:rPr>
              <w:br/>
            </w:r>
            <w:r>
              <w:rPr>
                <w:rFonts w:hint="eastAsia" w:ascii="宋体" w:hAnsi="宋体" w:eastAsia="宋体" w:cs="宋体"/>
                <w:sz w:val="21"/>
                <w:szCs w:val="21"/>
              </w:rPr>
              <w:t xml:space="preserve">13 使用寿命：&gt;10000h</w:t>
            </w:r>
            <w:r>
              <w:rPr>
                <w:rFonts w:hint="eastAsia" w:ascii="宋体" w:hAnsi="宋体" w:eastAsia="宋体" w:cs="宋体"/>
                <w:sz w:val="21"/>
                <w:szCs w:val="21"/>
              </w:rPr>
              <w:br/>
            </w:r>
            <w:r>
              <w:rPr>
                <w:rFonts w:hint="eastAsia" w:ascii="宋体" w:hAnsi="宋体" w:eastAsia="宋体" w:cs="宋体"/>
                <w:sz w:val="21"/>
                <w:szCs w:val="21"/>
              </w:rPr>
              <w:t xml:space="preserve">14 颜色选择：绿色</w:t>
            </w:r>
            <w:r>
              <w:rPr>
                <w:rFonts w:hint="eastAsia" w:ascii="宋体" w:hAnsi="宋体" w:eastAsia="宋体" w:cs="宋体"/>
                <w:sz w:val="21"/>
                <w:szCs w:val="21"/>
              </w:rPr>
              <w:br/>
            </w:r>
            <w:r>
              <w:rPr>
                <w:rFonts w:hint="eastAsia" w:ascii="宋体" w:hAnsi="宋体" w:eastAsia="宋体" w:cs="宋体"/>
                <w:sz w:val="21"/>
                <w:szCs w:val="21"/>
              </w:rPr>
              <w:t xml:space="preserve">15 光衰要求：1000 小时光衰总数不大于 5% </w:t>
            </w:r>
            <w:r>
              <w:rPr>
                <w:rFonts w:hint="eastAsia" w:ascii="宋体" w:hAnsi="宋体" w:eastAsia="宋体" w:cs="宋体"/>
                <w:sz w:val="21"/>
                <w:szCs w:val="21"/>
              </w:rPr>
              <w:br/>
            </w:r>
            <w:r>
              <w:rPr>
                <w:rFonts w:hint="eastAsia" w:ascii="宋体" w:hAnsi="宋体" w:eastAsia="宋体" w:cs="宋体"/>
                <w:sz w:val="21"/>
                <w:szCs w:val="21"/>
              </w:rPr>
              <w:t xml:space="preserve">17 安装高度：2m-20m（宜为15m）</w:t>
            </w:r>
            <w:r>
              <w:rPr>
                <w:rFonts w:hint="eastAsia" w:ascii="宋体" w:hAnsi="宋体" w:eastAsia="宋体" w:cs="宋体"/>
                <w:sz w:val="21"/>
                <w:szCs w:val="21"/>
              </w:rPr>
              <w:br/>
            </w:r>
            <w:r>
              <w:rPr>
                <w:rFonts w:hint="eastAsia" w:ascii="宋体" w:hAnsi="宋体" w:eastAsia="宋体" w:cs="宋体"/>
                <w:sz w:val="21"/>
                <w:szCs w:val="21"/>
              </w:rPr>
              <w:t xml:space="preserve">18 安装角度：上下可调节0-35</w:t>
            </w:r>
            <w:r>
              <w:rPr>
                <w:rFonts w:hint="eastAsia" w:ascii="宋体" w:hAnsi="宋体" w:eastAsia="宋体" w:cs="宋体"/>
                <w:sz w:val="21"/>
                <w:szCs w:val="21"/>
              </w:rPr>
              <w:br/>
            </w:r>
            <w:r>
              <w:rPr>
                <w:rFonts w:hint="eastAsia" w:ascii="宋体" w:hAnsi="宋体" w:eastAsia="宋体" w:cs="宋体"/>
                <w:sz w:val="21"/>
                <w:szCs w:val="21"/>
              </w:rPr>
              <w:t xml:space="preserve">19 激光发射器护罩：定制，配套固定支架。</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定向波束喇叭</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1、系统为有源音柱，集成网络音频解码、数字功放和扬声器单元一体化设计，内置高性能DSP音频处理器，支持网络音频流的实时解码、数字均衡及动态处理，实现全数字化信号传输与高保真声学还原；</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2、外壳采用高强度全铝合金一次压铸成型工艺，表面经阳极氧化处理，具备IP66级高等级防水防尘能力，可适应-30℃至+70℃极端户外高低温工作环境，确保在雨雪、暴晒、高湿等恶劣气候条件下长期稳定运行；</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3、支持100V定压广播信号输入，具备断网自动切换至模拟备份通道功能，保障系统运行的高可靠性与冗余性；</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4、至少具有1路10/100M自适应RJ45网络接口，支持标准TCP/IP协议簇及IGMP协议，实现网络音频流的毫秒级同步接收、解码与播放；</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5、扬声器单元：采用线性声源阵列（Line Source Array）技术，搭载不少于16只2英寸全频钕铁硼磁路单元，通过相位塞耦合技术优化高频指向性，有效减少声波干涉失真，实现声场均匀覆盖；</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6、额定功率：标称连续功率不低于120W，峰值功率具备瞬态强驱能力，满足大动态范围音频信号的还原需求；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7、指向角度：采用DSP波束成形（Beamforming）算法，实现水平覆盖角度在30°至45°范围内动态可调（@1kHz, -18dB点），满足不同安装场景下的声场聚焦与精准投射需求；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8、距离音源60cm处，前后白噪声声压比≥20dB（A）；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9、距离音源60cm处，前后正弦信号声压比≥30dB（A）@1KHz； </w:t>
            </w:r>
            <w:r/>
          </w:p>
          <w:p>
            <w:pPr>
              <w:jc w:val="left"/>
              <w:widowControl/>
              <w:rPr>
                <w:rFonts w:hint="eastAsia" w:ascii="宋体" w:hAnsi="宋体" w:eastAsia="宋体" w:cs="宋体"/>
                <w:sz w:val="21"/>
                <w:szCs w:val="21"/>
              </w:rPr>
            </w:pPr>
            <w:r/>
            <w:bookmarkStart w:id="173" w:name="OLE_LINK12"/>
            <w:r>
              <w:rPr>
                <w:rFonts w:hint="eastAsia" w:ascii="宋体" w:hAnsi="宋体" w:eastAsia="宋体" w:cs="宋体"/>
                <w:sz w:val="21"/>
                <w:szCs w:val="21"/>
              </w:rPr>
              <w:t xml:space="preserve">▲</w:t>
            </w:r>
            <w:bookmarkEnd w:id="173"/>
            <w:r>
              <w:rPr>
                <w:rFonts w:hint="eastAsia" w:ascii="宋体" w:hAnsi="宋体" w:eastAsia="宋体" w:cs="宋体"/>
                <w:sz w:val="21"/>
                <w:szCs w:val="21"/>
              </w:rPr>
              <w:t xml:space="preserve">10、可通过音柱的 WEB 参数页面进行调节设置定向播音角度、音量大小、音频延时器和音频检测等参数；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11、具备定向播音功能，可设置定向角度30°、90°、160°；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12、总谐波失真：≤3%；</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13、频率响应：150Hz-16KHz (±3dB)；</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14、内置功放信噪比：≥85dB；</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15、安装方式：支持横装、竖装。</w:t>
            </w:r>
            <w:r/>
          </w:p>
          <w:p>
            <w:pPr>
              <w:jc w:val="left"/>
              <w:widowControl/>
              <w:rPr>
                <w:rFonts w:hint="eastAsia" w:ascii="宋体" w:hAnsi="宋体" w:eastAsia="宋体" w:cs="宋体"/>
                <w:color w:val="ee0000"/>
                <w:sz w:val="21"/>
                <w:szCs w:val="21"/>
              </w:rPr>
            </w:pPr>
            <w:r>
              <w:rPr>
                <w:rFonts w:hint="eastAsia" w:ascii="宋体" w:hAnsi="宋体" w:eastAsia="宋体" w:cs="宋体"/>
                <w:b/>
                <w:bCs/>
                <w:color w:val="ee0000"/>
                <w:sz w:val="21"/>
                <w:szCs w:val="21"/>
              </w:rPr>
              <w:t xml:space="preserve">（投标时提供有效的公安部检测报告扫描件）</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管道直埋敷设</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管道直埋敷设，含管道敷设、线路敷设、开挖、回填、垃圾外运、安全防护、路面(绿化)破坏及恢复等一切费用，埋深不低于700mm，详见图纸，满足设计及使用需求。</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管道手井</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预制手井，详见图纸</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PE管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国标DN32，2mm厚</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38.5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波纹管</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AD25</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49.5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140.8</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八、交通信号诱导发布屏</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显示屏</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1、物理间距：P4；</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2、像素组成：红绿双基色（支持红，绿，黄三种颜色显示）+红蓝爆闪灯头；</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3、分辨率：224*64点；</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4、亮度：≥6000cd/m2；</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5、驱动方式：1/4扫描，恒流驱动；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6、亮度：&gt;6000cd/m2；</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7、防护等级：IP54；</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8、面积：不小于1.2平米；</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39</w:t>
            </w:r>
            <w:r/>
          </w:p>
        </w:tc>
      </w:tr>
      <w:tr>
        <w:trPr>
          <w:trHeight w:val="399"/>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显示屏密封箱体</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定制</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39</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发布终端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嵌入式工控机，适用于室内各类非盐雾、高粉尘的非腐蚀环境</w:t>
            </w:r>
            <w:r>
              <w:rPr>
                <w:rFonts w:hint="eastAsia" w:ascii="宋体" w:hAnsi="宋体" w:eastAsia="宋体" w:cs="宋体"/>
                <w:sz w:val="21"/>
                <w:szCs w:val="21"/>
              </w:rPr>
              <w:br/>
            </w:r>
            <w:r>
              <w:rPr>
                <w:rFonts w:hint="eastAsia" w:ascii="宋体" w:hAnsi="宋体" w:eastAsia="宋体" w:cs="宋体"/>
                <w:sz w:val="21"/>
                <w:szCs w:val="21"/>
              </w:rPr>
              <w:t xml:space="preserve">主处理器：四核高性能嵌入式处理器，RK3288，Cortex-A17 1.6GHz</w:t>
            </w:r>
            <w:r>
              <w:rPr>
                <w:rFonts w:hint="eastAsia" w:ascii="宋体" w:hAnsi="宋体" w:eastAsia="宋体" w:cs="宋体"/>
                <w:sz w:val="21"/>
                <w:szCs w:val="21"/>
              </w:rPr>
              <w:br/>
            </w:r>
            <w:r>
              <w:rPr>
                <w:rFonts w:hint="eastAsia" w:ascii="宋体" w:hAnsi="宋体" w:eastAsia="宋体" w:cs="宋体"/>
                <w:sz w:val="21"/>
                <w:szCs w:val="21"/>
              </w:rPr>
              <w:t xml:space="preserve">操作系统：Android 8.1</w:t>
            </w:r>
            <w:r>
              <w:rPr>
                <w:rFonts w:hint="eastAsia" w:ascii="宋体" w:hAnsi="宋体" w:eastAsia="宋体" w:cs="宋体"/>
                <w:sz w:val="21"/>
                <w:szCs w:val="21"/>
              </w:rPr>
              <w:br/>
            </w:r>
            <w:r>
              <w:rPr>
                <w:rFonts w:hint="eastAsia" w:ascii="宋体" w:hAnsi="宋体" w:eastAsia="宋体" w:cs="宋体"/>
                <w:sz w:val="21"/>
                <w:szCs w:val="21"/>
              </w:rPr>
              <w:t xml:space="preserve">内存：2 GB DDR3 RAM；</w:t>
            </w:r>
            <w:r>
              <w:rPr>
                <w:rFonts w:hint="eastAsia" w:ascii="宋体" w:hAnsi="宋体" w:eastAsia="宋体" w:cs="宋体"/>
                <w:sz w:val="21"/>
                <w:szCs w:val="21"/>
              </w:rPr>
              <w:br/>
            </w:r>
            <w:r>
              <w:rPr>
                <w:rFonts w:hint="eastAsia" w:ascii="宋体" w:hAnsi="宋体" w:eastAsia="宋体" w:cs="宋体"/>
                <w:sz w:val="21"/>
                <w:szCs w:val="21"/>
              </w:rPr>
              <w:t xml:space="preserve">存储：16GB EMMC</w:t>
            </w:r>
            <w:r>
              <w:rPr>
                <w:rFonts w:hint="eastAsia" w:ascii="宋体" w:hAnsi="宋体" w:eastAsia="宋体" w:cs="宋体"/>
                <w:sz w:val="21"/>
                <w:szCs w:val="21"/>
              </w:rPr>
              <w:br/>
            </w:r>
            <w:r>
              <w:rPr>
                <w:rFonts w:hint="eastAsia" w:ascii="宋体" w:hAnsi="宋体" w:eastAsia="宋体" w:cs="宋体"/>
                <w:sz w:val="21"/>
                <w:szCs w:val="21"/>
              </w:rPr>
              <w:t xml:space="preserve">发布内容：支持图片、文字、富文本、视频信息的即时发布</w:t>
            </w:r>
            <w:r>
              <w:rPr>
                <w:rFonts w:hint="eastAsia" w:ascii="宋体" w:hAnsi="宋体" w:eastAsia="宋体" w:cs="宋体"/>
                <w:sz w:val="21"/>
                <w:szCs w:val="21"/>
              </w:rPr>
              <w:br/>
            </w:r>
            <w:r>
              <w:rPr>
                <w:rFonts w:hint="eastAsia" w:ascii="宋体" w:hAnsi="宋体" w:eastAsia="宋体" w:cs="宋体"/>
                <w:sz w:val="21"/>
                <w:szCs w:val="21"/>
              </w:rPr>
              <w:t xml:space="preserve">播放类型：支持插播、指定时间段播放、周期播放和垫片播放</w:t>
            </w:r>
            <w:r>
              <w:rPr>
                <w:rFonts w:hint="eastAsia" w:ascii="宋体" w:hAnsi="宋体" w:eastAsia="宋体" w:cs="宋体"/>
                <w:sz w:val="21"/>
                <w:szCs w:val="21"/>
              </w:rPr>
              <w:br/>
            </w:r>
            <w:r>
              <w:rPr>
                <w:rFonts w:hint="eastAsia" w:ascii="宋体" w:hAnsi="宋体" w:eastAsia="宋体" w:cs="宋体"/>
                <w:sz w:val="21"/>
                <w:szCs w:val="21"/>
              </w:rPr>
              <w:t xml:space="preserve">智能分屏：支持1、2、3、4、5多种分屏；图片、文字、视频同时播放</w:t>
            </w:r>
            <w:r>
              <w:rPr>
                <w:rFonts w:hint="eastAsia" w:ascii="宋体" w:hAnsi="宋体" w:eastAsia="宋体" w:cs="宋体"/>
                <w:sz w:val="21"/>
                <w:szCs w:val="21"/>
              </w:rPr>
              <w:br/>
            </w:r>
            <w:r>
              <w:rPr>
                <w:rFonts w:hint="eastAsia" w:ascii="宋体" w:hAnsi="宋体" w:eastAsia="宋体" w:cs="宋体"/>
                <w:sz w:val="21"/>
                <w:szCs w:val="21"/>
              </w:rPr>
              <w:t xml:space="preserve">音频编码：支持MPEG-4/WMV v9/H.264/H.265/WMV3/MIDI/MP3/AAC</w:t>
            </w:r>
            <w:r>
              <w:rPr>
                <w:rFonts w:hint="eastAsia" w:ascii="宋体" w:hAnsi="宋体" w:eastAsia="宋体" w:cs="宋体"/>
                <w:sz w:val="21"/>
                <w:szCs w:val="21"/>
              </w:rPr>
              <w:br/>
            </w:r>
            <w:r>
              <w:rPr>
                <w:rFonts w:hint="eastAsia" w:ascii="宋体" w:hAnsi="宋体" w:eastAsia="宋体" w:cs="宋体"/>
                <w:sz w:val="21"/>
                <w:szCs w:val="21"/>
              </w:rPr>
              <w:t xml:space="preserve">视频编码：支持MP4/H.264/H.265/AVC/MPEG-4/SP/VP8</w:t>
            </w:r>
            <w:r>
              <w:rPr>
                <w:rFonts w:hint="eastAsia" w:ascii="宋体" w:hAnsi="宋体" w:eastAsia="宋体" w:cs="宋体"/>
                <w:sz w:val="21"/>
                <w:szCs w:val="21"/>
              </w:rPr>
              <w:br/>
            </w:r>
            <w:r>
              <w:rPr>
                <w:rFonts w:hint="eastAsia" w:ascii="宋体" w:hAnsi="宋体" w:eastAsia="宋体" w:cs="宋体"/>
                <w:sz w:val="21"/>
                <w:szCs w:val="21"/>
              </w:rPr>
              <w:t xml:space="preserve">视频输出：HDMI输出，最大支持1路4K@60fps或者4路1080P视频</w:t>
            </w:r>
            <w:r>
              <w:rPr>
                <w:rFonts w:hint="eastAsia" w:ascii="宋体" w:hAnsi="宋体" w:eastAsia="宋体" w:cs="宋体"/>
                <w:sz w:val="21"/>
                <w:szCs w:val="21"/>
              </w:rPr>
              <w:br/>
            </w:r>
            <w:r>
              <w:rPr>
                <w:rFonts w:hint="eastAsia" w:ascii="宋体" w:hAnsi="宋体" w:eastAsia="宋体" w:cs="宋体"/>
                <w:sz w:val="21"/>
                <w:szCs w:val="21"/>
              </w:rPr>
              <w:t xml:space="preserve">音频输出：3.5mm输出</w:t>
            </w:r>
            <w:r>
              <w:rPr>
                <w:rFonts w:hint="eastAsia" w:ascii="宋体" w:hAnsi="宋体" w:eastAsia="宋体" w:cs="宋体"/>
                <w:sz w:val="21"/>
                <w:szCs w:val="21"/>
              </w:rPr>
              <w:br/>
            </w:r>
            <w:r>
              <w:rPr>
                <w:rFonts w:hint="eastAsia" w:ascii="宋体" w:hAnsi="宋体" w:eastAsia="宋体" w:cs="宋体"/>
                <w:sz w:val="21"/>
                <w:szCs w:val="21"/>
              </w:rPr>
              <w:t xml:space="preserve">有线网络：1个RJ-45，10/100/1000Mbps自适应以太网口（千兆电口）；</w:t>
            </w:r>
            <w:r>
              <w:rPr>
                <w:rFonts w:hint="eastAsia" w:ascii="宋体" w:hAnsi="宋体" w:eastAsia="宋体" w:cs="宋体"/>
                <w:sz w:val="21"/>
                <w:szCs w:val="21"/>
              </w:rPr>
              <w:br/>
            </w:r>
            <w:r>
              <w:rPr>
                <w:rFonts w:hint="eastAsia" w:ascii="宋体" w:hAnsi="宋体" w:eastAsia="宋体" w:cs="宋体"/>
                <w:sz w:val="21"/>
                <w:szCs w:val="21"/>
              </w:rPr>
              <w:t xml:space="preserve">无线网络：支持2.4GHz@50Mbps和5GHz@280Mbps双频（默认2.4GHz）</w:t>
            </w:r>
            <w:r>
              <w:rPr>
                <w:rFonts w:hint="eastAsia" w:ascii="宋体" w:hAnsi="宋体" w:eastAsia="宋体" w:cs="宋体"/>
                <w:sz w:val="21"/>
                <w:szCs w:val="21"/>
              </w:rPr>
              <w:br/>
            </w:r>
            <w:r>
              <w:rPr>
                <w:rFonts w:hint="eastAsia" w:ascii="宋体" w:hAnsi="宋体" w:eastAsia="宋体" w:cs="宋体"/>
                <w:sz w:val="21"/>
                <w:szCs w:val="21"/>
              </w:rPr>
              <w:t xml:space="preserve">其他接口：RS232串口*1 , USB2.0*2,3.5mm接口*1，TF卡槽</w:t>
            </w:r>
            <w:r>
              <w:rPr>
                <w:rFonts w:hint="eastAsia" w:ascii="宋体" w:hAnsi="宋体" w:eastAsia="宋体" w:cs="宋体"/>
                <w:sz w:val="21"/>
                <w:szCs w:val="21"/>
              </w:rPr>
              <w:br/>
            </w:r>
            <w:r>
              <w:rPr>
                <w:rFonts w:hint="eastAsia" w:ascii="宋体" w:hAnsi="宋体" w:eastAsia="宋体" w:cs="宋体"/>
                <w:sz w:val="21"/>
                <w:szCs w:val="21"/>
              </w:rPr>
              <w:t xml:space="preserve">电源接口：单电源；</w:t>
            </w:r>
            <w:r>
              <w:rPr>
                <w:rFonts w:hint="eastAsia" w:ascii="宋体" w:hAnsi="宋体" w:eastAsia="宋体" w:cs="宋体"/>
                <w:sz w:val="21"/>
                <w:szCs w:val="21"/>
              </w:rPr>
              <w:br/>
            </w:r>
            <w:r>
              <w:rPr>
                <w:rFonts w:hint="eastAsia" w:ascii="宋体" w:hAnsi="宋体" w:eastAsia="宋体" w:cs="宋体"/>
                <w:sz w:val="21"/>
                <w:szCs w:val="21"/>
              </w:rPr>
              <w:t xml:space="preserve">供电方式：DC12V；</w:t>
            </w:r>
            <w:r>
              <w:rPr>
                <w:rFonts w:hint="eastAsia" w:ascii="宋体" w:hAnsi="宋体" w:eastAsia="宋体" w:cs="宋体"/>
                <w:sz w:val="21"/>
                <w:szCs w:val="21"/>
              </w:rPr>
              <w:br/>
            </w:r>
            <w:r>
              <w:rPr>
                <w:rFonts w:hint="eastAsia" w:ascii="宋体" w:hAnsi="宋体" w:eastAsia="宋体" w:cs="宋体"/>
                <w:sz w:val="21"/>
                <w:szCs w:val="21"/>
              </w:rPr>
              <w:t xml:space="preserve">功耗：2W；</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交通联网信息发布平台</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1、支持对信息发布屏进行统一管理，包括在地图展示诱导屏点位信息、插播视频、开屏关屏操作；</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2、支持对系统内的素材进行统一管理，包括图片和视频等素材；</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3、支持系统审核管理，支持素材、节目和计划的审核规则的编辑和审核人的选择；审核后才可进行发布；</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4、支持查看用户的操作日志和设备日志的查询；</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5、支持按周和自定义日期创建诱导屏播放计划；</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6、支持适配市面上主流的信息发布盒；</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7、支持相关节目管理，包括文字、图片、视频、网页等，并支持在本地预览诱导信息的内容。</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支持节目元素文本、形状、图片、视频、其他（时间、倒计时、网页、FTP）；支持节目自适应发布，自动适配对应分辨率；支持一张图选择设备支持按照框选、圈选、线选、多边形选、按路网选等方式，其中按路网选择可自动吸附相应路段诱导列表，并可直接进行插播界面、撤销插播； </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电力电缆</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国标YJV2*2.5mm²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2040.5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448.8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室外防水网线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国标室外六类网线</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489.6</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九、交通信号辅助灯带</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信号灯带</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红、黄、蓝三色LED灯带，5m+1.5米</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信号灯带控制器</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信号灯带控制器，可联动红绿灯，同步控制切换红、黄、蓝颜色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电源线</w:t>
            </w:r>
            <w:r/>
          </w:p>
        </w:tc>
        <w:tc>
          <w:tcPr>
            <w:tcW w:w="6691"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国标RVV2*1.0mm²</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253</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十、中心扩容</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云存储工作站</w:t>
            </w:r>
            <w:r/>
          </w:p>
        </w:tc>
        <w:tc>
          <w:tcPr>
            <w:tcW w:w="6691" w:type="dxa"/>
            <w:vAlign w:val="center"/>
            <w:textDirection w:val="lrTb"/>
            <w:noWrap w:val="false"/>
          </w:tcPr>
          <w:p>
            <w:pPr>
              <w:jc w:val="left"/>
              <w:widowControl/>
              <w:rPr>
                <w:rFonts w:hint="eastAsia" w:ascii="宋体" w:hAnsi="宋体" w:eastAsia="宋体" w:cs="宋体"/>
                <w:color w:val="ee0000"/>
                <w:sz w:val="21"/>
                <w:szCs w:val="21"/>
              </w:rPr>
            </w:pPr>
            <w:r>
              <w:rPr>
                <w:rFonts w:hint="eastAsia" w:ascii="宋体" w:hAnsi="宋体" w:eastAsia="宋体" w:cs="宋体"/>
                <w:sz w:val="21"/>
                <w:szCs w:val="21"/>
              </w:rPr>
              <w:t xml:space="preserve">1、设备配置：≥1颗64位多核处理器，≥16GB内存，内存支持扩展到≥128GB，内置SSD固态硬盘（可以扩展到4个SSD作为缓存盘），配置≥8个风扇，风扇支持热插拔并可冗余温控调速；支持热插拔1+1AC220V电源或1+1直流冗余电源供电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2、配置48块20T企业级硬盘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3、设备配置：≥8个千兆网口，支持2个前置 USB2.0接口、2个后置USB3.0接口，支持1个前置VGA接口、1个后置HDMI接口，支持1个RS-232串口，支持4个PCI-E3.0</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具有48个硬盘热插拔插槽；支持硬盘热插拔设备在读写数据时，热插拔设备内的任意块硬盘，设备正常运行不宕机，硬盘不损坏，数据不丢失，业务不中断</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4、设备具备1个定位灯、1个电源灯、1个设备报警灯、1个就绪灯、1个网络状态灯、1个系统盘状态灯、1个硬盘状态灯，机箱具备防尘滤网，采用双立柱防震设计。设备左右侧面各2个抬手，具备前面板抽拉标签卡</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5、系统支持单机（1台）、HA（2台）、集群（3台及以上）部署模式。支持在线扩容、升级。且扩容、升级过程中实时读写业务不中断，扩容后历史数据无需迁移。</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6、▲支持集中查看存储的容量信息，包括集群的容量信息和资源池的容量信息；支持查看集群中设备的在线和离线状态；支持查看存储卷的状态；对实时流和历史流业务进行集中监控。</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支持以资源池的方式，对数据的存储周期进行集中配置管理，通过设置资源池的容量覆盖，不覆盖和周期性覆盖三种不同策略，来灵活管理数据的保存时长；支持通过管理资源池的方式灵活批量调整数据覆盖策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8、▲云系统支持虚拟化存储空间，存储容量可以按需分配，分配的存储空间支持在线扩大和缩小；系统支持资源池空间弹性伸缩时，不影响读写业务；存储容量可以平滑扩容；且动态扩容和缩容时业务不中断。</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9、支持硬盘热插拔，设备在读写数据时，热插拔设备内的任意块硬盘，设备正常运行不宕机，硬盘不损坏，业务不中断；节点离线、磁盘离线、节点过载、扩容存储节点时，系统自动调整录像和图片存储业务，实现集群均衡负载。</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无人机应用工作站</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1、CPU：2颗海光7360_C86_2.2GHz_24C_64M_180W</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2、内存：4根32G DDR4内存；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3、硬盘：2块960G SSD 硬盘、36块16T SATA硬盘；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4、RAID卡：1块八通道RAID卡（4GB，含电容）；</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5、网卡：2个千兆网口;</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6、电源：1300W冗余电源；</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无人机AI算法工作站</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 支持网卡IP配置；支持TCP/HTTP(S)/RTSP/UDP端口配置；支持最大连接数配置；支持DNS配置；支持国标服务配置；各个网卡路由配置。</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 主处理器：2颗 Kunpeng 920 3210 CPU，24核/24线程，≥2.6GHz</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 操作系统: openEuler-22.03-LTS-aarch64</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 供电方式: 100–240VAC，50/60Hz，10–5.5A</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 功耗: ≤900W</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 产品尺寸:≤87.0mm×483.0mm×839.3mm（高×宽×深）</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 算法模型需具备：火焰报警、烟雾报警、违建报警、垃圾检测报警、人体报警、车辆识别、非机动车报警、船只报警、工程车检测、应急车道占用、施工监测、人员闯入、拥堵检测、低速行驶检测、超速行驶检测、异常停车、流动摊贩检测、漂浮物检测、枯木及松材线虫检测、农作物识别检测、变化类检测。</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8、接入分析能力：支持最大8种算法并发运行，支持分析32路2MP或4MP视频流.视频接入路数：1024路</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视频接入路数：1024Mbps接入，1024Mbps转发</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交通信息发布平台工作站</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1、尺寸：2U机架式机箱</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2、处理器：≥2颗鲲鹏920,24核，2.5GHz</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3、内存：配置≥64G内存。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4、硬盘：2块4TB3.5英寸硬盘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5、网口：≥8个千兆网口</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6、电源：1+1冗余热插拔电源模块，2×白金900W交流电源</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汇聚交换机</w:t>
            </w:r>
            <w:r/>
          </w:p>
        </w:tc>
        <w:tc>
          <w:tcPr>
            <w:tcW w:w="6691"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24口万兆汇聚交换机，含光模块</w:t>
            </w:r>
            <w:r>
              <w:rPr>
                <w:rFonts w:hint="eastAsia" w:ascii="宋体" w:hAnsi="宋体" w:eastAsia="宋体" w:cs="宋体"/>
                <w:sz w:val="21"/>
                <w:szCs w:val="21"/>
              </w:rPr>
              <w:br/>
            </w:r>
            <w:r>
              <w:rPr>
                <w:rFonts w:hint="eastAsia" w:ascii="宋体" w:hAnsi="宋体" w:eastAsia="宋体" w:cs="宋体"/>
                <w:sz w:val="21"/>
                <w:szCs w:val="21"/>
              </w:rPr>
              <w:t xml:space="preserve">以太网交换机主机,支持≥24个10/100/1000BASE-T端口,支持≥4个10G/1G BASE-X SFP+端口；</w:t>
            </w:r>
            <w:r/>
          </w:p>
        </w:tc>
        <w:tc>
          <w:tcPr>
            <w:tcW w:w="61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trHeight w:val="402"/>
        </w:trPr>
        <w:tc>
          <w:tcPr>
            <w:gridSpan w:val="4"/>
            <w:tcW w:w="8620" w:type="dxa"/>
            <w:vAlign w:val="center"/>
            <w:textDirection w:val="lrTb"/>
            <w:noWrap w:val="false"/>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十一、智慧岗亭（根据采购人实际需求定制，定制方案须经采购人书面同意后方可实施、制作及施工）</w:t>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gridSpan w:val="4"/>
            <w:tcW w:w="8620" w:type="dxa"/>
            <w:vAlign w:val="center"/>
            <w:textDirection w:val="lrTb"/>
            <w:noWrap/>
          </w:tcPr>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ee0000"/>
                <w:sz w:val="21"/>
                <w:szCs w:val="21"/>
                <w:highlight w:val="none"/>
              </w:rPr>
              <w:t xml:space="preserve">智慧岗亭（外径尺寸：室内面积3.6米*8米，约28.8平米）</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装饰面</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瓷砖，规格800x800，厚度≥10mm，吸水率＜0.08%，莫式硬度达到8级，耐磨性为＜150mm3</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粘结层</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瓷砖粘结剂，粘接强度高，硬化速度快，超薄层施工，涂层厚度是传统工艺的1/2以下。</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地面基板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地面基板:水泥纤维板</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20mm。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防潮层</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定制防水潮材料，通铺工艺施工</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构造龙骨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主要规格：镀锌矩形钢管100*100*3.0mm、100x50x3.0mm国标，具体以深化设计为准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墙面装饰板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2.5mm厚铝单板，（高档建筑外墙装饰专用材质），氟碳喷涂，优异的耐久性，20年保证无严重褪色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主要规格：镀锌矩形钢管80x80x2.5，60*40*1.5mm等，国标，具体以深化设计为准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保温材料</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岩棉，厚</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50mm，憎水率99%，纤维平均直径.3μm，导热系数≤0.043W/(m·K)，A级耐火等级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构造龙骨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40*20*1.2mm，国标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保温材料</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捷能板，厚度</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50mm，强度高，断冷热桥，密度333.9kg/m3，燃烧性能A1级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装饰面</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竹木纤维板，厚度</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9mm，甲醛释放量≤0.5（室内用）/（mg/L）E0级，燃烧性能B1级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gridSpan w:val="2"/>
            <w:tcW w:w="1193"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基本要求</w:t>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w:t>
            </w:r>
            <w:r/>
          </w:p>
        </w:tc>
        <w:tc>
          <w:tcPr>
            <w:tcW w:w="616"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tcW w:w="848"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装饰面</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竹木纤维板，厚度</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9mm，甲醛释放量≤0.5（室内用）/（mg/L）E0级，燃烧性能B1级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隔音层</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岩棉，厚</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50mm，憎水率99%，纤维平均直径.3μm，导热系数≤0.043W/(m·K)，A级耐火等级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60*40*1.5mm，国标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滑动墙体</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10mm厚钢化磨砂玻璃，加轨道</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屋面防水</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镀锌钢板刚性防水层，屋面坡度2%，需要二次深化设计，保证防水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屋面基板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12mm厚承重基板，外设密封打胶，作为二道防水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屋面保温</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100mm厚玻璃丝绵保温，导热系数≤0.043，根据深化设计进行调整。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钢丝网</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钢丝网满铺固定层，网格尺寸不大于100x100</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钢檩条</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主要规格：镀锌矩形钢管50*50*1.2mm，国标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钢梁</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主要规格：镀锌矩形钢管100*100*3.0mm、100x50x2.0mm国标，具体以深化设计为准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隔热空腔</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屋顶采用架空保温体系，达到保温、隔音效果。</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吊顶龙骨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主要规格：镀锌矩形钢管50*30*1.5mm，国标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室内吊顶</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600*600铝扣板，白色系（除大厅外其他房间）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室内吊顶</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蜂窝铝板吊顶，防火、防水、抗污染（限于大厅）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帽檐钢龙骨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50*50*1.5mm国标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帽檐以及其它造型</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铝单板，氟碳喷涂，优异的耐久性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室内窗套</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镀锌钢板，激光切割，折弯成型，颜色采用白色系</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平开窗</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断桥铝上悬窗（含纱窗），玻璃：双层中空钢化玻璃，中空内部镀膜处理（防晒、亮暗视觉差异）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入户门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肯德基门，钢化中空镀膜玻璃,玻璃规格：5+9A+5，定制防爆金属门（用于后部安全出口）与墙体同色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配电系统</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强电配电箱、暗装电箱中心距地面完成面1500mm左右、含地线排</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总开：空气开关，漏电保护器，断路器总闸2P63A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分开：空气开关，过载保护开关系统2P16A/1P10A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预留分开：空气开关，过载保护开关系统2P16A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弱电配电箱、暗装电箱下沿距地面完成面300mm、含供电电源</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电力电缆</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电缆，塑铜线1.5MM ≤5根用PVC20线管 主要用于灯具</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电缆，塑铜线2.5MM ≤4根用PVC20线管 主要用于五孔插座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电缆，塑铜线4.0MM ≤3根用PVC20线管 主要用于空调插座及大功率设备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插座电源</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空调插座，86盒暗装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五孔插座，86盒暗装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预留室外显示屏等线路（根据甲方需求）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电源开关</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单联单控，86盒暗装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LED平板灯</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弱电线路</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根据客户要求预留弱电线路线管</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灯光装饰</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室外红蓝爆闪灯、顶部发光字</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47</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高清宣教公示终端</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高清宣教/公示类显示终端布设位，含电源、数据接口及安装基座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49</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冷暖温控设备安装位，含进出风管路预埋及供电接口</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50</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警务音频扩声及喊话系统安装位</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执勤操作台基础基座、壁挂式置物固定位，满足设备布设及日常执勤需求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52</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警务信息化办公终端布设位，含多组网络接口、电源接口及操作基座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室外灯箱</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54</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监控及门禁</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55</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宣传教育专栏背景墙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56</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爆闪灯+亚克力字+警徽</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57</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警用装备柜</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1、外观设计要求：柜子要求采用一主一副柜设计，整体采用模块化设计，可单独拆装。</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2、采用高密度冷轧钢板，钢板厚度≥1.2 mm，柜体经冷加工成型，经酸洗磷化，确保长期使用不易生锈；特殊部位进行加强筋处理保证柜体绝对牢固；焊接 、喷涂工艺。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3、柜门采用嵌入式钢化玻璃设计，舱体内采用可调节钢化玻璃隔板设计，并配备LED独立照明灯, 当柜舱开启时自动亮灯，柜舱关闭时自动灭灯。</w:t>
            </w:r>
            <w:r/>
          </w:p>
          <w:p>
            <w:pPr>
              <w:jc w:val="left"/>
              <w:widowControl/>
              <w:rPr>
                <w:rFonts w:hint="eastAsia" w:ascii="宋体" w:hAnsi="宋体" w:eastAsia="宋体" w:cs="宋体"/>
                <w:b/>
                <w:bCs/>
                <w:sz w:val="21"/>
                <w:szCs w:val="21"/>
              </w:rPr>
            </w:pPr>
            <w:r>
              <w:rPr>
                <w:rFonts w:hint="eastAsia" w:ascii="宋体" w:hAnsi="宋体" w:eastAsia="宋体" w:cs="宋体"/>
                <w:sz w:val="21"/>
                <w:szCs w:val="21"/>
              </w:rPr>
              <w:t xml:space="preserve">4、装备管理功能：支持装备注册、采集及存储功能。智能柜可以自动获取执法仪的产品序号和警号，并查验是否和警号进行了关联配置，如未关联，可通过管理员权限完成注册。应能自动采集视音频、音频、照片和日志等数据，应能验证数据的一致性，当数据采集产生网络中断、存储器溢出等异常情况时，可听报警指示的声压应≥65dB(A)但不超过70dB(A)，持续时间不小于5min。存储内存≥4GB，应能根据产品序号、警号、时间、文件类型中的一种或多种条件对数据进行分类保存。</w:t>
            </w:r>
            <w:r>
              <w:rPr>
                <w:rFonts w:hint="eastAsia" w:ascii="宋体" w:hAnsi="宋体" w:eastAsia="宋体" w:cs="宋体"/>
                <w:b/>
                <w:bCs/>
                <w:color w:val="ee0000"/>
                <w:sz w:val="21"/>
                <w:szCs w:val="21"/>
              </w:rPr>
              <w:t xml:space="preserve">（投标时提供有效的公安部检测报告扫描件）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5、告警功能：柜体具有告警指示灯，支持声光告警方式；支持多种类告警事件，包括归还超时、关柜超时、非法开柜、多次密码错误等。</w:t>
            </w:r>
            <w:r/>
          </w:p>
          <w:p>
            <w:pPr>
              <w:jc w:val="both"/>
              <w:widowControl/>
              <w:rPr>
                <w:rFonts w:hint="eastAsia" w:ascii="宋体" w:hAnsi="宋体" w:eastAsia="宋体" w:cs="宋体"/>
                <w:sz w:val="21"/>
                <w:szCs w:val="21"/>
              </w:rPr>
            </w:pPr>
            <w:r>
              <w:rPr>
                <w:rFonts w:hint="eastAsia" w:ascii="宋体" w:hAnsi="宋体" w:eastAsia="宋体" w:cs="宋体"/>
                <w:sz w:val="21"/>
                <w:szCs w:val="21"/>
              </w:rPr>
              <w:t xml:space="preserve">6、具有应急处置功能：支持管理员打开指定或全部单元柜。</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58</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宣教学习系统</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一、总体要求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 建设一套AI数字人+交通安全宣传一体化系统，部署于交警警亭/交通劝导站，实现24小时无人值守、智能宣传、违法劝导、自助学习、柔性执法、数据统计全流程闭环。</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 系统由数字人交互终端、AI宣教平台、户外宣传模块、后台管理系统四部分组成。</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数字人交互终端配置要求：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处理器：RK3588及以上8核芯片，NPU算力≥6TOPS，支持AI实时渲染</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内存/存储：≥8GB+256GB SSD，支持扩展</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-音频：喇叭8Ω5W*1对，2*2定向阵列麦克风，AEC降噪、回声消除、远距离拾音（≥5米）</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摄像头：双目高清≥4000万像素，支持人脸识别、人体感应、自动唤醒。</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模型：2D写实数字人/2D 数字人克隆式形象可选，交警制式形象（真人或真人卡通，男/女可选），专业威严、亲和自然。</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表情动作：唇形同步、自然表情、手势动作，与语音精准匹配，延迟≤100ms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AI交互能力：语音识别：普通话识别率≥95%，支持中文、英文识别，响应≤300ms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智能问答：内置交通法规知识库（一盔一带、电动车、酒驾、行人违法等），支持多轮对话（≥10轮）、上下文记忆、模糊提问理解，响应≤1500ms，支持通过问答调出宣传视频、宣传图片等内容</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语音合成：真人级TTS，交警专业音色，清晰自然、无机械感</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宣传系统功能要求：</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视频警示教育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支持1080P/4K事故视频播放（酒驾、不戴头盔、闯红灯、逆行等）</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支持定时播放、触发播放（违法人员必看、自助学习）</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支持断点续播、进度记录、强制观看（不可快进/跳过）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 便民服务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法规查询、业务咨询（业务办理导引）</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天气、路况、便民电话播报</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支持一键呼叫后台民警（可视对讲）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五、后台管理系统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设备管理：远程监控、状态查看、故障报警、远程升级</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内容管理：视频 /数字人话术/宣传物料上传、编辑、发布</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用户管理：违法人员信息、学习记录、查询记录管理</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数据统计：日/周/月报表（宣教人次、查询记录、劝导次数），图表导出（Excel/PDF）</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权限管理：多级账号、角色权限、操作日志、数据加密</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接口对接：提供API接口，支持与交警违法处理平台数据对接。</w:t>
            </w:r>
            <w:r/>
          </w:p>
          <w:p>
            <w:pPr>
              <w:jc w:val="left"/>
              <w:widowControl/>
              <w:rPr>
                <w:rFonts w:hint="eastAsia" w:ascii="宋体" w:hAnsi="宋体" w:eastAsia="宋体" w:cs="宋体"/>
                <w:sz w:val="21"/>
                <w:szCs w:val="21"/>
              </w:rPr>
            </w:pPr>
            <w:r>
              <w:rPr>
                <w:rFonts w:hint="eastAsia" w:ascii="宋体" w:hAnsi="宋体" w:eastAsia="宋体" w:cs="宋体"/>
                <w:b/>
                <w:bCs/>
                <w:color w:val="ee0000"/>
                <w:sz w:val="21"/>
                <w:szCs w:val="21"/>
              </w:rPr>
              <w:t xml:space="preserve">（投标时提供产品彩页）</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外勤全域动态影像采集设备</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高帧率高速影像录制，动态场景抓拍防抖</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三防：防水、防震、防尘，复杂外勤工况适配</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超广角大视野，全场景作业画面采集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长时连续录制、低温环境续航稳定</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支持车载、头戴、多场景固定拓展挂载</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360全景采集设备</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360°全景无缝拼接，全景空间数据采集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高像素全景建图，满足场景三维资料归档</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内置高精度空间定位辅助</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适配全域场景复盘、环境全景存档业务需求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高清业务纪实采集设备</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 RAW 格式专业原始影像存储</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高动态范围成像，弱光环境高清采集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满足现场资料留存、取证纪实、档案归档标准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金属机身防尘防泼溅，适配外勤作业环境</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专业热靴拓展、外接收音/外设拓展接口</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高清点调业务监看专用终端</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1、采用高清CMOS图像传感器，具备高有效像素，支持4K高清分辨率，可实现高帧率高清图像输出；</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2、设备支持光学变焦与数字变焦，满足不同拍摄远近取景需求；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3、拥有广角至长焦多档位视场角覆盖，水平、垂直视场角可调，适配多样拍摄场景；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4、支持画面水平翻转、垂直翻转功能；</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5、配备标准音频输入接口，可接入外接音频信号；</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6、标配多类主流视频输出接口，满足多渠道信号传输需求；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7、集成多路通讯控制串口，兼容主流通用通讯协议，支持多档波特率调节；</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8、支持串口远程管控功能，可实现设备远程参数调试与操作控制；</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9、支持多接口音频同步输出，适配各类后端配套设备使用；</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10、设备支持大容量预置位存储，满足多场景点位快速调用；</w:t>
            </w:r>
            <w:r/>
          </w:p>
        </w:tc>
        <w:tc>
          <w:tcPr>
            <w:tcW w:w="616" w:type="dxa"/>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调音台</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1、技术参数：1.支持≥8路麦克风输入兼容6路线路输入接口，支持≥2路立体声输入接口，≥4路RCA输入，话筒接口幻象电源：+48V。</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2、具有≥2组立体主输出、≥4路编组输出、≥4路辅助输出、≥1组立体声监听输出、≥1个耳机监听输出、≥2个效果输出、≥1组主混音断点插入、≥6个断点插入。</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3、内置24位DSP效果器，提供100种预设效果。</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4、具备13个60mm行程的高精密碳膜推子。</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5、内置USB声卡模块，支持连接电脑进行音乐播放和声音录音；内置MP3播放器，支持1个USB接口接U盘播放音乐。</w:t>
            </w:r>
            <w:r/>
          </w:p>
        </w:tc>
        <w:tc>
          <w:tcPr>
            <w:tcW w:w="616" w:type="dxa"/>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多媒体一体化管控终端</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具备中控管理功能，配备多路通讯与控制接口，包含RS-232、RS-485、IO、继电器、红外信号输出接口； </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采用输入输出一体化设计，可根据使用需求，自由配置为输入终端、输出终端、KVM终端；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兼容多种高清视频信号输入，支持多等级高清信号输出，向下兼容常规视频格式；支持多码流传输，高分辨率输入信号可适配不同规格显示终端；</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支持主流视频编码格式解码，可满足多路视频解码运行，具备画面平铺、缩放、叠加、分割等画面处理功能；</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支持台标、字幕自定义设置，可调节字幕样式并支持滚动显示；支持拼接墙底图设置，可上传本地图片作为背景底图。</w:t>
            </w:r>
            <w:r/>
          </w:p>
        </w:tc>
        <w:tc>
          <w:tcPr>
            <w:tcW w:w="616" w:type="dxa"/>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65</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交通违法业务处罚自助机</w:t>
            </w:r>
            <w:r/>
          </w:p>
        </w:tc>
        <w:tc>
          <w:tcPr>
            <w:tcW w:w="6691" w:type="dxa"/>
            <w:vAlign w:val="center"/>
            <w:textDirection w:val="lrTb"/>
            <w:noWrap/>
          </w:tcPr>
          <w:p>
            <w:pPr>
              <w:numPr>
                <w:ilvl w:val="0"/>
                <w:numId w:val="9"/>
              </w:numPr>
              <w:jc w:val="left"/>
              <w:widowControl/>
              <w:rPr>
                <w:rFonts w:hint="eastAsia" w:ascii="宋体" w:hAnsi="宋体" w:eastAsia="宋体" w:cs="宋体"/>
                <w:sz w:val="21"/>
                <w:szCs w:val="21"/>
              </w:rPr>
            </w:pPr>
            <w:r>
              <w:rPr>
                <w:rFonts w:hint="eastAsia" w:ascii="宋体" w:hAnsi="宋体" w:eastAsia="宋体" w:cs="宋体"/>
                <w:sz w:val="21"/>
                <w:szCs w:val="21"/>
              </w:rPr>
              <w:t xml:space="preserve">主机配4G及以上内存、128G SSD，接口丰富。配双不小于21.5英寸16:9电容触控屏，分辨率不小于1920*1080。</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rPr>
              <w:t xml:space="preserve">2、▲壁挂式，尺寸不大于600*560*1560mm。含身份证阅读器，凭条打印机、双目摄像头及二维条码枪，手写签名模块，满足交通违法自助业务办理需求，需免费对接六合一平台。</w:t>
            </w:r>
            <w:r>
              <w:rPr>
                <w:rFonts w:hint="eastAsia" w:ascii="宋体" w:hAnsi="宋体" w:eastAsia="宋体" w:cs="宋体"/>
                <w:b/>
                <w:bCs/>
                <w:sz w:val="21"/>
                <w:szCs w:val="21"/>
              </w:rPr>
              <w:t xml:space="preserve">（</w:t>
            </w:r>
            <w:r>
              <w:rPr>
                <w:rFonts w:hint="eastAsia" w:ascii="宋体" w:hAnsi="宋体" w:eastAsia="宋体" w:cs="宋体"/>
                <w:b/>
                <w:bCs/>
                <w:color w:val="ee0000"/>
                <w:sz w:val="21"/>
                <w:szCs w:val="21"/>
              </w:rPr>
              <w:t xml:space="preserve">投标时提供产品彩页）</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高清宣教/公示类显示终端布设位，含电源、数据接口及安装基座</w:t>
            </w:r>
            <w:r/>
          </w:p>
        </w:tc>
        <w:tc>
          <w:tcPr>
            <w:tcW w:w="61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84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402"/>
        </w:trPr>
        <w:tc>
          <w:tcPr>
            <w:gridSpan w:val="4"/>
            <w:tcW w:w="8620"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color w:val="ee0000"/>
                <w:sz w:val="21"/>
                <w:szCs w:val="21"/>
              </w:rPr>
              <w:t xml:space="preserve">智慧岗亭（外径尺寸：室内面积3米*3米，约9平米）</w:t>
            </w:r>
            <w:r>
              <w:rPr>
                <w:rFonts w:hint="eastAsia" w:ascii="宋体" w:hAnsi="宋体" w:eastAsia="宋体" w:cs="宋体"/>
                <w:color w:val="ee0000"/>
                <w:sz w:val="21"/>
                <w:szCs w:val="21"/>
                <w:lang w:eastAsia="zh-CN"/>
              </w:rPr>
              <w:t xml:space="preserve">（</w:t>
            </w:r>
            <w:r>
              <w:rPr>
                <w:rFonts w:ascii="宋体" w:hAnsi="宋体" w:eastAsia="宋体" w:cs="宋体"/>
                <w:sz w:val="24"/>
                <w:szCs w:val="24"/>
              </w:rPr>
              <w:t xml:space="preserve">根据采购人实际需求定制，定制方案须经采购人书面同意后方可实施、制作及施工</w:t>
            </w:r>
            <w:r>
              <w:rPr>
                <w:rFonts w:hint="eastAsia" w:ascii="宋体" w:hAnsi="宋体" w:eastAsia="宋体" w:cs="宋体"/>
                <w:color w:val="ee0000"/>
                <w:sz w:val="21"/>
                <w:szCs w:val="21"/>
                <w:lang w:eastAsia="zh-CN"/>
              </w:rPr>
              <w:t xml:space="preserve">）</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装饰面</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瓷砖，规格800x800，厚度≥10mm，吸水率＜0.08%，莫式硬度达到8级，耐磨性为＜150mm3</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粘结层</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瓷砖粘结剂，粘接强度高，硬化速度快，超薄层施工，涂层厚度是传统工艺的1/2以下。</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地面基板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地面基板:水泥纤维板</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20mm。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防潮层</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定制防水潮材料，通铺工艺施工</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构造龙骨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100*100*3.0mm、100x50x3.0mm国标，具体以深化设计为准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墙面装饰板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2.5mm厚铝单板，（高档建筑外墙装饰专用材质），氟碳喷涂，优异的耐久性，20年保证无严重褪色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80x80x2.5，60*40*1.5mm等，国标，具体以深化设计为准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保温材料</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岩棉，厚</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50mm，憎水率99%，纤维平均直径.3μm，导热系数≤0.043W/(m·K)，A级耐火等级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构造龙骨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40*20*1.2mm，国标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保温材料</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捷能板，厚度</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50mm，强度高，断冷热桥，密度333.9kg/m3，燃烧性能A1级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装饰面</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竹木纤维板，厚度9mm，甲醛释放量≤0.5（室内用）/（mg/L）E0级，燃烧性能B1级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gridSpan w:val="2"/>
            <w:tcW w:w="1193"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基本要求</w:t>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屋面防水</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镀锌钢板刚性防水层，屋面坡度2%，需要二次深化设计，保证防水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屋面基板</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12mm厚承重基板，外设密封打胶，作为二道防水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屋面保温</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100mm厚玻璃丝绵保温，导热系数≤0.043，根据深化设计进行调整。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钢丝网</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钢丝网满铺固定层，网格尺寸不大于100x100</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钢檩条</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50*50*1.2mm，国标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钢梁</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100*100*3.0mm、100x50x2.0mm国标，具体以深化设计为准</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隔热空腔</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屋顶采用架空保温体系，达到保温、隔音效果。</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吊顶龙骨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50*30*1.5mm，国标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室内吊顶</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600*600铝扣板，白色系（除大厅外其他房间）</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帽檐钢龙骨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主要规格：镀锌矩形钢管</w:t>
            </w:r>
            <w:r>
              <w:rPr>
                <w:rFonts w:hint="eastAsia" w:ascii="宋体" w:hAnsi="宋体" w:cs="宋体"/>
                <w:color w:val="000000"/>
                <w:sz w:val="21"/>
                <w:szCs w:val="21"/>
                <w:highlight w:val="none"/>
                <w:lang w:val="en-US" w:eastAsia="zh-CN" w:bidi="ar"/>
              </w:rPr>
              <w:t xml:space="preserve">不小于</w:t>
            </w:r>
            <w:r>
              <w:rPr>
                <w:rFonts w:hint="eastAsia" w:ascii="宋体" w:hAnsi="宋体" w:eastAsia="宋体" w:cs="宋体"/>
                <w:color w:val="000000"/>
                <w:sz w:val="21"/>
                <w:szCs w:val="21"/>
                <w:highlight w:val="none"/>
                <w:lang w:bidi="ar"/>
              </w:rPr>
              <w:t xml:space="preserve">50*50*1.5mm国标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帽檐以及其它造型</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铝单板，氟碳喷涂，优异的耐久性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室内窗套</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镀锌钢板，激光切割，折弯成型，颜色采用白色系</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平开窗</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断桥铝上悬窗（含纱窗），玻璃：双层中空钢化玻璃，中空内部镀膜处理（防晒、亮暗视觉差异）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入户门</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肯德基门，钢化中空镀膜玻璃,玻璃规格：5+9A+5，定制防爆金属门（用于后部安全出口）与墙体同色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9</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配电系统</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强电配电箱、暗装电箱中心距地面完成面1500mm左右、含地线排</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总开：空气开关，漏电保护器，断路器总闸2P63A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1</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分开：空气开关，过载保护开关系统2P16A/1P10A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2</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预留分开：空气开关，过载保护开关系统2P16A</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3</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弱电配电箱、暗装电箱下沿距地面完成面300mm、含供电电源</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4</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电力电缆</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电缆，塑铜线1.5MM ≤5根用PVC20线管 主要用于灯具</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5</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电缆，塑铜线2.5MM ≤4根用PVC20线管 主要用于五孔插座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6</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电缆，塑铜线4.0MM ≤3根用PVC20线管 主要用于空调插座及大功率设备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7</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插座电源</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空调插座，86盒暗装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8</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五孔插座，86盒暗装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19</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预留室外显示屏等线路（根据甲方需求）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电源开关</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单联单控，86盒暗装</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21</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LED平板灯</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22</w:t>
            </w:r>
            <w:r/>
          </w:p>
        </w:tc>
        <w:tc>
          <w:tcPr>
            <w:gridSpan w:val="2"/>
            <w:tcW w:w="1193" w:type="dxa"/>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弱电线路</w:t>
            </w:r>
            <w:r/>
          </w:p>
        </w:tc>
        <w:tc>
          <w:tcPr>
            <w:tcW w:w="6691"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根据客户要求预留弱电线路线管</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23</w:t>
            </w:r>
            <w:r/>
          </w:p>
        </w:tc>
        <w:tc>
          <w:tcPr>
            <w:gridSpan w:val="2"/>
            <w:tcW w:w="1193" w:type="dxa"/>
            <w:vAlign w:val="center"/>
            <w:vMerge w:val="restart"/>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灯光装饰</w:t>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室外红蓝爆闪灯、顶部发光字</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24</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冷暖温控设备安装位，含进出风管路预埋及供电接口</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25</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警务音频扩声及喊话系统安装位</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26</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执勤操作台基础基座、壁挂式置物固定位，满足设备布设及日常执勤需求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27</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9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警务信息化办公终端布设位，含多组网络接口、电源接口及操作基座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28</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室外灯箱</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29</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监控及门禁</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30</w:t>
            </w:r>
            <w:r/>
          </w:p>
        </w:tc>
        <w:tc>
          <w:tcPr>
            <w:gridSpan w:val="2"/>
            <w:tcW w:w="1193" w:type="dxa"/>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爆闪灯+亚克力字+警徽</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31</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岗亭移装</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原岗亭利旧移装</w:t>
            </w:r>
            <w:r>
              <w:rPr>
                <w:rFonts w:hint="eastAsia" w:ascii="宋体" w:hAnsi="宋体" w:eastAsia="宋体" w:cs="宋体"/>
                <w:sz w:val="21"/>
                <w:szCs w:val="21"/>
              </w:rPr>
              <w:br/>
            </w:r>
            <w:r>
              <w:rPr>
                <w:rFonts w:hint="eastAsia" w:ascii="宋体" w:hAnsi="宋体" w:eastAsia="宋体" w:cs="宋体"/>
                <w:sz w:val="21"/>
                <w:szCs w:val="21"/>
              </w:rPr>
              <w:t xml:space="preserve">1、利旧岗亭尺寸：5400mm*3600mm</w:t>
            </w:r>
            <w:r>
              <w:rPr>
                <w:rFonts w:hint="eastAsia" w:ascii="宋体" w:hAnsi="宋体" w:eastAsia="宋体" w:cs="宋体"/>
                <w:sz w:val="21"/>
                <w:szCs w:val="21"/>
              </w:rPr>
              <w:br/>
            </w:r>
            <w:r>
              <w:rPr>
                <w:rFonts w:hint="eastAsia" w:ascii="宋体" w:hAnsi="宋体" w:eastAsia="宋体" w:cs="宋体"/>
                <w:sz w:val="21"/>
                <w:szCs w:val="21"/>
              </w:rPr>
              <w:t xml:space="preserve">2、岗亭主体拆散运输，运距约9公里；</w:t>
            </w:r>
            <w:r>
              <w:rPr>
                <w:rFonts w:hint="eastAsia" w:ascii="宋体" w:hAnsi="宋体" w:eastAsia="宋体" w:cs="宋体"/>
                <w:sz w:val="21"/>
                <w:szCs w:val="21"/>
              </w:rPr>
              <w:br/>
            </w:r>
            <w:r>
              <w:rPr>
                <w:rFonts w:hint="eastAsia" w:ascii="宋体" w:hAnsi="宋体" w:eastAsia="宋体" w:cs="宋体"/>
                <w:sz w:val="21"/>
                <w:szCs w:val="21"/>
              </w:rPr>
              <w:t xml:space="preserve">3、指定地点场地平整、基础处理及重新安装；</w:t>
            </w:r>
            <w:r>
              <w:rPr>
                <w:rFonts w:hint="eastAsia" w:ascii="宋体" w:hAnsi="宋体" w:eastAsia="宋体" w:cs="宋体"/>
                <w:sz w:val="21"/>
                <w:szCs w:val="21"/>
              </w:rPr>
              <w:br/>
            </w:r>
            <w:r>
              <w:rPr>
                <w:rFonts w:hint="eastAsia" w:ascii="宋体" w:hAnsi="宋体" w:eastAsia="宋体" w:cs="宋体"/>
                <w:sz w:val="21"/>
                <w:szCs w:val="21"/>
              </w:rPr>
              <w:t xml:space="preserve">4、岗亭主体搭建安装，室内设备安装调试及接电、接网。</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tcW w:w="73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32</w:t>
            </w:r>
            <w:r/>
          </w:p>
        </w:tc>
        <w:tc>
          <w:tcPr>
            <w:gridSpan w:val="2"/>
            <w:tcW w:w="119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地面基础改造</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地面基础改造，满足岗亭安装需求</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2"/>
        </w:trPr>
        <w:tc>
          <w:tcPr>
            <w:gridSpan w:val="3"/>
            <w:tcW w:w="192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十二、其他配套基础设施</w:t>
            </w:r>
            <w:r/>
          </w:p>
        </w:tc>
        <w:tc>
          <w:tcPr>
            <w:tcW w:w="6691"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c>
          <w:tcPr>
            <w:tcW w:w="848"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双组分罩面漆（红色）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双组分罩面涂料（红色）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248.82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双组分罩面漆（黄色）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双组分罩面涂料（黄色）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261.3</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双组分罩面漆（蓝色）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双组分罩面涂料（蓝色）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1086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双组分罩面漆（绿色）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双组分罩面涂料（绿色）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550.8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双组分罩面漆（橙色）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双组分罩面涂料（橙色）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热熔减震线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热熔减震线</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241.88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热熔黄色边线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热熔黄色边线</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223.5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热熔彩色斑马线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热熔彩色斑马线</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115.2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热熔黄色网状线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热熔黄色网状线</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32.7</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除线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路南侧振荡线破损严重</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52.65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热熔字</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护学通道，学校区域减速慢行限速30，慢。500mm*500mm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非机动车车标</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非机动车车标，1000mm*1000mm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热熔字</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慢、30，3000mm*3000mm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标志牌</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一停二看三通过，荧光绿1000mm*300mm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警示桩反光贴</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高80cm，直径7.5cm，荧光绿Ⅵ（超强级）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护栏反光贴</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10cm*18cm，荧光绿Ⅵ（超强级）</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护栏轮廓标</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护栏轮廓标</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50</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18</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陶瓷颗粒（红色）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陶瓷颗粒（红色）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221.68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19</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陶瓷颗粒（黄色）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陶瓷颗粒（黄色）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229.84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双组分地面漆（蓝色）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双组分地面漆（蓝色）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1411.6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双组分地面漆（绿色）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双组分地面漆（绿色）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618.64</w:t>
            </w:r>
            <w:r/>
          </w:p>
        </w:tc>
      </w:tr>
      <w:tr>
        <w:trPr>
          <w:trHeight w:val="1414"/>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双组分地面漆（橙色）</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双组分地面漆（橙色）</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斑马线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斑马线，热熔性涂料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1254.64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车让人</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车让人，热熔性涂料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53.43</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注意儿童</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注意儿童，热熔性涂料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27.05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菱形减速线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菱形减速线，热熔性涂料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366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27</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震荡线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震荡线，热熔性涂料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715.6</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左看右看</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左看右看，热熔性涂料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23.1</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29</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小箭头</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小箭头，热熔性涂料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6.3</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横向减速菱形线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横向减速菱形线，热熔性涂料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31</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纵向减速菱形线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纵向减速菱形线，热熔性涂料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32</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分道线</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分道线，热熔性涂料</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平方米</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禁鸣标志</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禁鸣标志标志牌，δ=3.0mm，φ800mm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25</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34</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限速标志</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限速标志标志牌，δ=3.0mm，φ800mm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35</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解除限速</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解除限速标志牌，δ=3.0mm，φ800mm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36</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学校区域减速慢行</w:t>
            </w:r>
            <w:r/>
          </w:p>
        </w:tc>
        <w:tc>
          <w:tcPr>
            <w:tcW w:w="6691"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学校区域减速慢行标志牌，δ=3.0mm，800mm*800mm*800mm</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trHeight w:val="402"/>
        </w:trPr>
        <w:tc>
          <w:tcPr>
            <w:tcW w:w="73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W w:w="1193"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传输线路</w:t>
            </w:r>
            <w:r/>
          </w:p>
        </w:tc>
        <w:tc>
          <w:tcPr>
            <w:tcW w:w="6691"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传输线路租赁费，5年服务期，不低于千兆带宽，保证前端所有设备数据安全回传，不得有卡顿、跳帧、延时等（前端提供双千兆网口接入端口）。</w:t>
            </w:r>
            <w:r/>
          </w:p>
        </w:tc>
        <w:tc>
          <w:tcPr>
            <w:tcW w:w="616"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点位</w:t>
            </w:r>
            <w:r/>
          </w:p>
        </w:tc>
        <w:tc>
          <w:tcPr>
            <w:tcW w:w="84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bl>
    <w:p>
      <w:pPr>
        <w:ind w:firstLine="480"/>
        <w:spacing w:line="360" w:lineRule="auto"/>
        <w:rPr>
          <w:rFonts w:ascii="宋体" w:hAnsi="宋体" w:cs="宋体"/>
          <w:bCs/>
          <w:sz w:val="24"/>
          <w:highlight w:val="none"/>
        </w:rPr>
      </w:pPr>
      <w:r>
        <w:rPr>
          <w:rFonts w:hint="eastAsia" w:ascii="宋体" w:hAnsi="宋体" w:cs="宋体"/>
          <w:b/>
          <w:sz w:val="24"/>
          <w:highlight w:val="none"/>
        </w:rPr>
        <w:t xml:space="preserve">备注1</w:t>
      </w:r>
      <w:r>
        <w:rPr>
          <w:rFonts w:hint="eastAsia" w:ascii="宋体" w:hAnsi="宋体" w:cs="宋体"/>
          <w:bCs/>
          <w:sz w:val="24"/>
          <w:highlight w:val="none"/>
        </w:rPr>
        <w:t xml:space="preserve">：</w:t>
      </w:r>
      <w:r/>
    </w:p>
    <w:tbl>
      <w:tblPr>
        <w:tblStyle w:val="742"/>
        <w:tblW w:w="10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9822"/>
      </w:tblGrid>
      <w:tr>
        <w:trPr>
          <w:jc w:val="center"/>
          <w:trHeight w:val="511"/>
        </w:trPr>
        <w:tc>
          <w:tcPr>
            <w:gridSpan w:val="2"/>
            <w:tcW w:w="10540" w:type="dxa"/>
            <w:vAlign w:val="center"/>
            <w:textDirection w:val="lrTb"/>
            <w:noWrap w:val="false"/>
          </w:tcPr>
          <w:p>
            <w:pPr>
              <w:jc w:val="center"/>
              <w:spacing w:line="500" w:lineRule="exact"/>
              <w:rPr>
                <w:rFonts w:hint="eastAsia" w:ascii="黑体" w:hAnsi="黑体" w:eastAsia="黑体"/>
                <w:i w:val="0"/>
                <w:iCs w:val="0"/>
                <w:sz w:val="24"/>
                <w:highlight w:val="none"/>
                <w:u w:val="none"/>
              </w:rPr>
            </w:pPr>
            <w:r>
              <w:rPr>
                <w:rFonts w:ascii="黑体" w:hAnsi="黑体" w:eastAsia="黑体"/>
                <w:b/>
                <w:bCs/>
                <w:i w:val="0"/>
                <w:iCs w:val="0"/>
                <w:color w:val="ff0000"/>
                <w:sz w:val="24"/>
                <w:highlight w:val="none"/>
                <w:u w:val="none"/>
              </w:rPr>
              <w:t xml:space="preserve">采购需求中须满足的</w:t>
            </w:r>
            <w:r>
              <w:rPr>
                <w:rFonts w:hint="eastAsia" w:ascii="黑体" w:hAnsi="黑体" w:eastAsia="黑体"/>
                <w:b/>
                <w:bCs/>
                <w:i w:val="0"/>
                <w:iCs w:val="0"/>
                <w:color w:val="ff0000"/>
                <w:sz w:val="24"/>
                <w:highlight w:val="none"/>
                <w:u w:val="none"/>
                <w:lang w:val="en-US" w:eastAsia="zh-CN"/>
              </w:rPr>
              <w:t xml:space="preserve">实质</w:t>
            </w:r>
            <w:r>
              <w:rPr>
                <w:rFonts w:ascii="黑体" w:hAnsi="黑体" w:eastAsia="黑体"/>
                <w:b/>
                <w:bCs/>
                <w:i w:val="0"/>
                <w:iCs w:val="0"/>
                <w:color w:val="ff0000"/>
                <w:sz w:val="24"/>
                <w:highlight w:val="none"/>
                <w:u w:val="none"/>
              </w:rPr>
              <w:t xml:space="preserve">要求和条件</w:t>
            </w:r>
            <w:r/>
          </w:p>
        </w:tc>
      </w:tr>
      <w:tr>
        <w:trPr>
          <w:jc w:val="center"/>
          <w:trHeight w:val="511"/>
        </w:trPr>
        <w:tc>
          <w:tcPr>
            <w:tcW w:w="718" w:type="dxa"/>
            <w:textDirection w:val="lrTb"/>
            <w:noWrap w:val="false"/>
          </w:tcPr>
          <w:p>
            <w:pPr>
              <w:jc w:val="center"/>
              <w:spacing w:line="500" w:lineRule="exact"/>
              <w:rPr>
                <w:i w:val="0"/>
                <w:iCs w:val="0"/>
                <w:sz w:val="24"/>
                <w:highlight w:val="none"/>
                <w:u w:val="none"/>
              </w:rPr>
            </w:pPr>
            <w:r>
              <w:rPr>
                <w:i w:val="0"/>
                <w:iCs w:val="0"/>
                <w:sz w:val="24"/>
                <w:highlight w:val="none"/>
                <w:u w:val="none"/>
              </w:rPr>
              <w:t xml:space="preserve">序号</w:t>
            </w:r>
            <w:r/>
          </w:p>
        </w:tc>
        <w:tc>
          <w:tcPr>
            <w:tcW w:w="9822" w:type="dxa"/>
            <w:textDirection w:val="lrTb"/>
            <w:noWrap w:val="false"/>
          </w:tcPr>
          <w:p>
            <w:pPr>
              <w:jc w:val="center"/>
              <w:spacing w:line="500" w:lineRule="exact"/>
              <w:rPr>
                <w:i w:val="0"/>
                <w:iCs w:val="0"/>
                <w:sz w:val="24"/>
                <w:highlight w:val="none"/>
                <w:u w:val="none"/>
              </w:rPr>
            </w:pPr>
            <w:r>
              <w:rPr>
                <w:i w:val="0"/>
                <w:iCs w:val="0"/>
                <w:sz w:val="24"/>
                <w:highlight w:val="none"/>
                <w:u w:val="none"/>
              </w:rPr>
              <w:t xml:space="preserve">实质性要求和条件</w:t>
            </w:r>
            <w:r/>
          </w:p>
        </w:tc>
      </w:tr>
      <w:tr>
        <w:trPr>
          <w:jc w:val="center"/>
          <w:trHeight w:val="958"/>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1</w:t>
            </w:r>
            <w:r/>
          </w:p>
        </w:tc>
        <w:tc>
          <w:tcPr>
            <w:tcW w:w="9822" w:type="dxa"/>
            <w:textDirection w:val="lrTb"/>
            <w:noWrap w:val="false"/>
          </w:tcPr>
          <w:p>
            <w:pPr>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★无人机软件平台必须支持多种通用协议的接入方式，可通过IP，Onvif，主动注册，国标GB28181协议等方式接入平台。</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1281"/>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2</w:t>
            </w:r>
            <w:r/>
          </w:p>
        </w:tc>
        <w:tc>
          <w:tcPr>
            <w:tcW w:w="9822" w:type="dxa"/>
            <w:textDirection w:val="lrTb"/>
            <w:noWrap w:val="false"/>
          </w:tcPr>
          <w:p>
            <w:pPr>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无人机软件平台必须支持多种类设备接入：种类包含但不限于单兵、监控、无人机、机库接入，第三方无人机和机库需通过设备协议接入该系统，包含但不限于三家以上主流无人机设备，具备飞行控制、云台控制、喊话控制、算法下发等设备功能，具备兼容第三方无人机设备的能力。设备可通过该系统进行远程升级。</w:t>
            </w:r>
            <w:r>
              <w:rPr>
                <w:rFonts w:hint="eastAsia" w:ascii="宋体" w:hAnsi="宋体" w:cs="宋体"/>
                <w:b/>
                <w:bCs/>
                <w:i w:val="0"/>
                <w:iCs w:val="0"/>
                <w:sz w:val="24"/>
                <w:highlight w:val="none"/>
                <w:u w:val="none"/>
              </w:rPr>
              <w:t xml:space="preserve">（投标时提供功能截图）</w:t>
            </w:r>
            <w:r/>
          </w:p>
        </w:tc>
      </w:tr>
      <w:tr>
        <w:trPr>
          <w:jc w:val="center"/>
          <w:trHeight w:val="415"/>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3</w:t>
            </w:r>
            <w:r/>
          </w:p>
        </w:tc>
        <w:tc>
          <w:tcPr>
            <w:tcW w:w="9822" w:type="dxa"/>
            <w:textDirection w:val="lrTb"/>
            <w:noWrap w:val="false"/>
          </w:tcPr>
          <w:p>
            <w:pPr>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★无人机软件平台必须支持公安网，视频专网等系统网络下私有化部署。</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1026"/>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4</w:t>
            </w:r>
            <w:r/>
          </w:p>
        </w:tc>
        <w:tc>
          <w:tcPr>
            <w:tcW w:w="9822" w:type="dxa"/>
            <w:textDirection w:val="lrTb"/>
            <w:noWrap w:val="false"/>
          </w:tcPr>
          <w:p>
            <w:pPr>
              <w:jc w:val="left"/>
              <w:spacing w:line="500" w:lineRule="exact"/>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无人机软件平台必须支持按照采购人要求接入相关业务平台。</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557"/>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5</w:t>
            </w:r>
            <w:r/>
          </w:p>
        </w:tc>
        <w:tc>
          <w:tcPr>
            <w:tcW w:w="9822" w:type="dxa"/>
            <w:textDirection w:val="lrTb"/>
            <w:noWrap w:val="false"/>
          </w:tcPr>
          <w:p>
            <w:pPr>
              <w:pStyle w:val="948"/>
              <w:jc w:val="left"/>
              <w:keepNext/>
              <w:spacing w:before="78" w:line="360" w:lineRule="auto"/>
              <w:widowControl/>
              <w:rPr>
                <w:rFonts w:hint="eastAsia"/>
                <w:i w:val="0"/>
                <w:iCs w:val="0"/>
                <w:sz w:val="24"/>
                <w:szCs w:val="24"/>
                <w:highlight w:val="none"/>
                <w:u w:val="none"/>
                <w:lang w:eastAsia="zh-CN"/>
              </w:rPr>
            </w:pPr>
            <w:r>
              <w:rPr>
                <w:rFonts w:hint="eastAsia"/>
                <w:i w:val="0"/>
                <w:iCs w:val="0"/>
                <w:sz w:val="24"/>
                <w:szCs w:val="24"/>
                <w:highlight w:val="none"/>
                <w:u w:val="none"/>
                <w:lang w:eastAsia="zh-CN"/>
              </w:rPr>
              <w:t xml:space="preserve">★无人机定位模式：设备具有符合公安业务要求的定位模式。</w:t>
            </w:r>
            <w:r>
              <w:rPr>
                <w:rFonts w:hint="eastAsia"/>
                <w:b/>
                <w:bCs/>
                <w:i w:val="0"/>
                <w:iCs w:val="0"/>
                <w:sz w:val="24"/>
                <w:szCs w:val="24"/>
                <w:highlight w:val="none"/>
                <w:u w:val="none"/>
                <w:lang w:eastAsia="zh-CN"/>
              </w:rPr>
              <w:t xml:space="preserve">（</w:t>
            </w:r>
            <w:r>
              <w:rPr>
                <w:rFonts w:hint="eastAsia"/>
                <w:b/>
                <w:bCs/>
                <w:i w:val="0"/>
                <w:iCs w:val="0"/>
                <w:sz w:val="24"/>
                <w:szCs w:val="24"/>
                <w:highlight w:val="none"/>
                <w:u w:val="none"/>
                <w:lang w:val="en-US" w:eastAsia="zh-CN"/>
              </w:rPr>
              <w:t xml:space="preserve">投标时提供第三方权威检测机构出具的检测报告扫描件</w:t>
            </w:r>
            <w:r>
              <w:rPr>
                <w:rFonts w:hint="eastAsia"/>
                <w:b/>
                <w:bCs/>
                <w:i w:val="0"/>
                <w:iCs w:val="0"/>
                <w:sz w:val="24"/>
                <w:szCs w:val="24"/>
                <w:highlight w:val="none"/>
                <w:u w:val="none"/>
                <w:lang w:eastAsia="zh-CN"/>
              </w:rPr>
              <w:t xml:space="preserve">）</w:t>
            </w:r>
            <w:r/>
          </w:p>
        </w:tc>
      </w:tr>
      <w:tr>
        <w:trPr>
          <w:jc w:val="center"/>
          <w:trHeight w:val="282"/>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6</w:t>
            </w:r>
            <w:r/>
          </w:p>
        </w:tc>
        <w:tc>
          <w:tcPr>
            <w:tcW w:w="9822" w:type="dxa"/>
            <w:textDirection w:val="lrTb"/>
            <w:noWrap w:val="false"/>
          </w:tcPr>
          <w:p>
            <w:pPr>
              <w:jc w:val="left"/>
              <w:widowControl/>
              <w:rPr>
                <w:rFonts w:hint="eastAsia" w:ascii="宋体" w:hAnsi="宋体" w:eastAsia="宋体" w:cs="宋体"/>
                <w:i w:val="0"/>
                <w:iCs w:val="0"/>
                <w:sz w:val="24"/>
                <w:highlight w:val="none"/>
                <w:u w:val="none"/>
                <w:lang w:eastAsia="zh-CN"/>
              </w:rPr>
            </w:pPr>
            <w:r>
              <w:rPr>
                <w:rFonts w:hint="eastAsia" w:ascii="宋体" w:hAnsi="宋体" w:cs="宋体"/>
                <w:i w:val="0"/>
                <w:iCs w:val="0"/>
                <w:sz w:val="24"/>
                <w:highlight w:val="none"/>
                <w:u w:val="none"/>
              </w:rPr>
              <w:t xml:space="preserve">★无人机机库定位模式：设备具有符合公安业务要求的定位模式</w:t>
            </w:r>
            <w:r>
              <w:rPr>
                <w:rFonts w:hint="eastAsia" w:ascii="宋体" w:hAnsi="宋体" w:cs="宋体"/>
                <w:i w:val="0"/>
                <w:iCs w:val="0"/>
                <w:sz w:val="24"/>
                <w:highlight w:val="none"/>
                <w:u w:val="none"/>
                <w:lang w:eastAsia="zh-CN"/>
              </w:rPr>
              <w:t xml:space="preserve">。</w:t>
            </w:r>
            <w:r>
              <w:rPr>
                <w:rFonts w:hint="eastAsia"/>
                <w:b/>
                <w:bCs/>
                <w:i w:val="0"/>
                <w:iCs w:val="0"/>
                <w:sz w:val="24"/>
                <w:szCs w:val="24"/>
                <w:highlight w:val="none"/>
                <w:u w:val="none"/>
                <w:lang w:eastAsia="zh-CN"/>
              </w:rPr>
              <w:t xml:space="preserve">（</w:t>
            </w:r>
            <w:r>
              <w:rPr>
                <w:rFonts w:hint="eastAsia"/>
                <w:b/>
                <w:bCs/>
                <w:i w:val="0"/>
                <w:iCs w:val="0"/>
                <w:sz w:val="24"/>
                <w:szCs w:val="24"/>
                <w:highlight w:val="none"/>
                <w:u w:val="none"/>
                <w:lang w:val="en-US" w:eastAsia="zh-CN"/>
              </w:rPr>
              <w:t xml:space="preserve">投标时提供第三方权威检测机构出具的检测报告扫描件</w:t>
            </w:r>
            <w:r>
              <w:rPr>
                <w:rFonts w:hint="eastAsia"/>
                <w:b/>
                <w:bCs/>
                <w:i w:val="0"/>
                <w:iCs w:val="0"/>
                <w:sz w:val="24"/>
                <w:szCs w:val="24"/>
                <w:highlight w:val="none"/>
                <w:u w:val="none"/>
                <w:lang w:eastAsia="zh-CN"/>
              </w:rPr>
              <w:t xml:space="preserve">）</w:t>
            </w:r>
            <w:r/>
          </w:p>
        </w:tc>
      </w:tr>
      <w:tr>
        <w:trPr>
          <w:jc w:val="center"/>
          <w:trHeight w:val="705"/>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7</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w:t>
            </w:r>
            <w:bookmarkStart w:id="174" w:name="OLE_LINK6"/>
            <w:r>
              <w:rPr>
                <w:rFonts w:hint="eastAsia" w:ascii="宋体" w:hAnsi="宋体" w:cs="宋体"/>
                <w:i w:val="0"/>
                <w:iCs w:val="0"/>
                <w:sz w:val="24"/>
                <w:highlight w:val="none"/>
                <w:u w:val="none"/>
              </w:rPr>
              <w:t xml:space="preserve">交通联网信息发布平台</w:t>
            </w:r>
            <w:bookmarkEnd w:id="174"/>
            <w:r>
              <w:rPr>
                <w:rFonts w:hint="eastAsia" w:ascii="宋体" w:hAnsi="宋体" w:cs="宋体"/>
                <w:i w:val="0"/>
                <w:iCs w:val="0"/>
                <w:sz w:val="24"/>
                <w:highlight w:val="none"/>
                <w:u w:val="none"/>
              </w:rPr>
              <w:t xml:space="preserve">必须支持与滨海县信号机进行联动发布，联动内容包括相关宣传信息、预案信息等。</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963"/>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8</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★交通联网信息发布平台必须支持节目元素文本、形状、图片、视频、其他（时间、倒计时、网页、FTP）；支持节目自适应发布，自动适配对应分辨率</w:t>
            </w:r>
            <w:r>
              <w:rPr>
                <w:rFonts w:hint="eastAsia" w:ascii="宋体" w:hAnsi="宋体" w:cs="宋体"/>
                <w:i w:val="0"/>
                <w:iCs w:val="0"/>
                <w:sz w:val="24"/>
                <w:highlight w:val="none"/>
                <w:u w:val="none"/>
                <w:lang w:eastAsia="zh-CN"/>
              </w:rPr>
              <w:t xml:space="preserve">。</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879"/>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9</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★交通联网信息发布平台必须支持一张图选择设备支持按照框选、圈选、线选、多边形选、按路网选等方式，其中按路网选择可自动吸附相应路段诱导列表，并可直接进行插播界面、撤销插播</w:t>
            </w:r>
            <w:r>
              <w:rPr>
                <w:rFonts w:hint="eastAsia" w:ascii="宋体" w:hAnsi="宋体" w:cs="宋体"/>
                <w:i w:val="0"/>
                <w:iCs w:val="0"/>
                <w:sz w:val="24"/>
                <w:highlight w:val="none"/>
                <w:u w:val="none"/>
                <w:lang w:eastAsia="zh-CN"/>
              </w:rPr>
              <w:t xml:space="preserve">。</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700"/>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10</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★显示屏必须与滨海县信号机进行联动发布，联动相关的信控类提示信息。</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638"/>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11</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★云存储工作站必须接入县局视频云存储平台，硬盘不返还</w:t>
            </w:r>
            <w:r>
              <w:rPr>
                <w:rFonts w:hint="eastAsia" w:ascii="宋体" w:hAnsi="宋体" w:cs="宋体"/>
                <w:i w:val="0"/>
                <w:iCs w:val="0"/>
                <w:sz w:val="24"/>
                <w:highlight w:val="none"/>
                <w:u w:val="none"/>
                <w:lang w:eastAsia="zh-CN"/>
              </w:rPr>
              <w:t xml:space="preserve">。</w:t>
            </w:r>
            <w:r>
              <w:rPr>
                <w:rFonts w:hint="eastAsia" w:ascii="宋体" w:hAnsi="宋体" w:cs="宋体"/>
                <w:b/>
                <w:bCs/>
                <w:i w:val="0"/>
                <w:iCs w:val="0"/>
                <w:sz w:val="24"/>
                <w:highlight w:val="none"/>
                <w:u w:val="none"/>
              </w:rPr>
              <w:t xml:space="preserve">（投标时提供有效的承诺函（承诺函格式自拟）并加盖投标人公章）</w:t>
            </w:r>
            <w:r/>
          </w:p>
        </w:tc>
      </w:tr>
      <w:tr>
        <w:trPr>
          <w:jc w:val="center"/>
          <w:trHeight w:val="1363"/>
        </w:trPr>
        <w:tc>
          <w:tcPr>
            <w:tcW w:w="718" w:type="dxa"/>
            <w:textDirection w:val="lrTb"/>
            <w:noWrap w:val="false"/>
          </w:tcPr>
          <w:p>
            <w:pPr>
              <w:jc w:val="center"/>
              <w:spacing w:line="500" w:lineRule="exact"/>
              <w:rPr>
                <w:i w:val="0"/>
                <w:iCs w:val="0"/>
                <w:sz w:val="24"/>
                <w:highlight w:val="none"/>
                <w:u w:val="none"/>
              </w:rPr>
            </w:pPr>
            <w:r>
              <w:rPr>
                <w:rFonts w:hint="eastAsia"/>
                <w:i w:val="0"/>
                <w:iCs w:val="0"/>
                <w:sz w:val="24"/>
                <w:highlight w:val="none"/>
                <w:u w:val="none"/>
              </w:rPr>
              <w:t xml:space="preserve">12</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智能管理柜便警服务功能：集警员装备存取、装备紧急调用、设备充电、数据采集、数据自动上传、应急处置等功能于一体。具有执法数据采集功能，可实现采集数据自动上传至滨海县局执法音视频管理系统，无缝对接交警现场执法执勤信息系统和现场执法一体化指挥调度平台。</w:t>
            </w:r>
            <w:r>
              <w:rPr>
                <w:rFonts w:hint="eastAsia" w:ascii="宋体" w:hAnsi="宋体" w:cs="宋体"/>
                <w:b/>
                <w:bCs/>
                <w:i w:val="0"/>
                <w:iCs w:val="0"/>
                <w:sz w:val="24"/>
                <w:highlight w:val="none"/>
                <w:u w:val="none"/>
              </w:rPr>
              <w:t xml:space="preserve">（投标时提供有效的承诺函（承诺函格式自拟））</w:t>
            </w:r>
            <w:r/>
          </w:p>
        </w:tc>
      </w:tr>
      <w:tr>
        <w:trPr>
          <w:jc w:val="center"/>
          <w:trHeight w:val="666"/>
        </w:trPr>
        <w:tc>
          <w:tcPr>
            <w:tcW w:w="718" w:type="dxa"/>
            <w:textDirection w:val="lrTb"/>
            <w:noWrap w:val="false"/>
          </w:tcPr>
          <w:p>
            <w:pPr>
              <w:jc w:val="center"/>
              <w:spacing w:line="500" w:lineRule="exact"/>
              <w:rPr>
                <w:rFonts w:hint="default" w:eastAsia="宋体"/>
                <w:i w:val="0"/>
                <w:iCs w:val="0"/>
                <w:sz w:val="24"/>
                <w:highlight w:val="none"/>
                <w:u w:val="none"/>
                <w:lang w:val="en-US" w:eastAsia="zh-CN"/>
              </w:rPr>
            </w:pPr>
            <w:r>
              <w:rPr>
                <w:rFonts w:hint="eastAsia"/>
                <w:i w:val="0"/>
                <w:iCs w:val="0"/>
                <w:sz w:val="24"/>
                <w:highlight w:val="none"/>
                <w:u w:val="none"/>
                <w:lang w:val="en-US" w:eastAsia="zh-CN"/>
              </w:rPr>
              <w:t xml:space="preserve">13</w:t>
            </w:r>
            <w:r/>
          </w:p>
        </w:tc>
        <w:tc>
          <w:tcPr>
            <w:tcW w:w="9822" w:type="dxa"/>
            <w:textDirection w:val="lrTb"/>
            <w:noWrap w:val="false"/>
          </w:tcPr>
          <w:p>
            <w:pPr>
              <w:jc w:val="left"/>
              <w:widowControl/>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交通违法业务</w:t>
            </w:r>
            <w:r>
              <w:rPr>
                <w:rFonts w:hint="eastAsia" w:ascii="宋体" w:hAnsi="宋体" w:cs="宋体"/>
                <w:i w:val="0"/>
                <w:iCs w:val="0"/>
                <w:sz w:val="24"/>
                <w:highlight w:val="none"/>
                <w:u w:val="none"/>
                <w:lang w:val="en-US" w:eastAsia="zh-CN"/>
              </w:rPr>
              <w:t xml:space="preserve">处理</w:t>
            </w:r>
            <w:r>
              <w:rPr>
                <w:rFonts w:hint="eastAsia" w:ascii="宋体" w:hAnsi="宋体" w:cs="宋体"/>
                <w:i w:val="0"/>
                <w:iCs w:val="0"/>
                <w:sz w:val="24"/>
                <w:highlight w:val="none"/>
                <w:u w:val="none"/>
              </w:rPr>
              <w:t xml:space="preserve">自助机</w:t>
            </w:r>
            <w:r>
              <w:rPr>
                <w:rFonts w:hint="eastAsia" w:ascii="宋体" w:hAnsi="宋体" w:cs="宋体"/>
                <w:i w:val="0"/>
                <w:iCs w:val="0"/>
                <w:sz w:val="24"/>
                <w:highlight w:val="none"/>
                <w:u w:val="none"/>
                <w:lang w:val="en-US" w:eastAsia="zh-CN"/>
              </w:rPr>
              <w:t xml:space="preserve">须</w:t>
            </w:r>
            <w:r>
              <w:rPr>
                <w:rFonts w:hint="eastAsia" w:ascii="宋体" w:hAnsi="宋体" w:cs="宋体"/>
                <w:i w:val="0"/>
                <w:iCs w:val="0"/>
                <w:sz w:val="24"/>
                <w:highlight w:val="none"/>
                <w:u w:val="none"/>
              </w:rPr>
              <w:t xml:space="preserve">满足交通违法自助业务办理需求</w:t>
            </w:r>
            <w:r>
              <w:rPr>
                <w:rFonts w:hint="eastAsia" w:ascii="宋体" w:hAnsi="宋体" w:cs="宋体"/>
                <w:i w:val="0"/>
                <w:iCs w:val="0"/>
                <w:sz w:val="24"/>
                <w:highlight w:val="none"/>
                <w:u w:val="none"/>
                <w:lang w:eastAsia="zh-CN"/>
              </w:rPr>
              <w:t xml:space="preserve">，</w:t>
            </w:r>
            <w:r>
              <w:rPr>
                <w:rFonts w:hint="eastAsia" w:ascii="宋体" w:hAnsi="宋体" w:cs="宋体"/>
                <w:i w:val="0"/>
                <w:iCs w:val="0"/>
                <w:sz w:val="24"/>
                <w:highlight w:val="none"/>
                <w:u w:val="none"/>
              </w:rPr>
              <w:t xml:space="preserve">需免费对接六合一平台。</w:t>
            </w:r>
            <w:r>
              <w:rPr>
                <w:rFonts w:hint="eastAsia" w:ascii="宋体" w:hAnsi="宋体" w:cs="宋体"/>
                <w:b/>
                <w:bCs/>
                <w:i w:val="0"/>
                <w:iCs w:val="0"/>
                <w:sz w:val="24"/>
                <w:highlight w:val="none"/>
                <w:u w:val="none"/>
              </w:rPr>
              <w:t xml:space="preserve">（投标时提供有效的承诺函（承诺函格式自拟））</w:t>
            </w:r>
            <w:r/>
          </w:p>
        </w:tc>
      </w:tr>
    </w:tbl>
    <w:p>
      <w:pPr>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备注2</w:t>
      </w:r>
      <w:r>
        <w:rPr>
          <w:rFonts w:hint="eastAsia" w:ascii="宋体" w:hAnsi="宋体" w:cs="宋体"/>
          <w:bCs/>
          <w:sz w:val="24"/>
          <w:highlight w:val="none"/>
          <w:lang w:eastAsia="zh-CN"/>
        </w:rPr>
        <w:t xml:space="preserve">：</w:t>
      </w:r>
      <w:r/>
    </w:p>
    <w:p>
      <w:pPr>
        <w:ind w:firstLine="602"/>
        <w:spacing w:line="360" w:lineRule="auto"/>
        <w:rPr>
          <w:rFonts w:hint="eastAsia" w:ascii="宋体" w:hAnsi="宋体" w:cs="宋体"/>
          <w:b w:val="0"/>
          <w:bCs w:val="0"/>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以上技术参数中要求提供的检验报告中标单位须在中标结果公告日起5个工作日内提供原件供采购人审核</w:t>
      </w:r>
      <w:r>
        <w:rPr>
          <w:rFonts w:hint="eastAsia" w:ascii="宋体" w:hAnsi="宋体" w:cs="宋体"/>
          <w:bCs/>
          <w:sz w:val="24"/>
          <w:highlight w:val="none"/>
        </w:rPr>
        <w:t xml:space="preserve">。如不提供或提供的原件与投标文件不一致的，视为投标人在投标过程中提供虚假材料、虚假响应谋取中标成交等违规行为</w:t>
      </w:r>
      <w:r>
        <w:rPr>
          <w:rFonts w:hint="eastAsia" w:ascii="宋体" w:hAnsi="宋体" w:cs="宋体"/>
          <w:bCs/>
          <w:sz w:val="24"/>
          <w:highlight w:val="none"/>
          <w:lang w:eastAsia="zh-CN"/>
        </w:rPr>
        <w:t xml:space="preserve">，</w:t>
      </w:r>
      <w:r>
        <w:rPr>
          <w:rFonts w:hint="eastAsia" w:ascii="宋体" w:hAnsi="宋体" w:cs="宋体"/>
          <w:b w:val="0"/>
          <w:bCs w:val="0"/>
          <w:color w:val="000000"/>
          <w:sz w:val="24"/>
          <w:szCs w:val="20"/>
          <w:highlight w:val="none"/>
          <w:lang w:val="en-US" w:eastAsia="zh-CN"/>
        </w:rPr>
        <w:t xml:space="preserve">①采购人将取消其中标候选人的中标资格并追究中标人的民事赔偿，②</w:t>
      </w:r>
      <w:r>
        <w:rPr>
          <w:rFonts w:hint="eastAsia" w:ascii="宋体" w:hAnsi="宋体" w:eastAsia="宋体" w:cs="宋体"/>
          <w:b w:val="0"/>
          <w:bCs w:val="0"/>
          <w:color w:val="000000"/>
          <w:sz w:val="24"/>
          <w:szCs w:val="20"/>
          <w:highlight w:val="none"/>
        </w:rPr>
        <w:t xml:space="preserve">上报财政主管部门,将其列入黑名单</w:t>
      </w:r>
      <w:r>
        <w:rPr>
          <w:rFonts w:hint="eastAsia" w:ascii="宋体" w:hAnsi="宋体" w:cs="宋体"/>
          <w:b w:val="0"/>
          <w:bCs w:val="0"/>
          <w:color w:val="000000"/>
          <w:sz w:val="24"/>
          <w:szCs w:val="20"/>
          <w:highlight w:val="none"/>
          <w:lang w:eastAsia="zh-CN"/>
        </w:rPr>
        <w:t xml:space="preserve">，</w:t>
      </w:r>
      <w:r>
        <w:rPr>
          <w:rFonts w:hint="eastAsia" w:ascii="宋体" w:hAnsi="宋体" w:cs="宋体"/>
          <w:b w:val="0"/>
          <w:bCs w:val="0"/>
          <w:color w:val="000000"/>
          <w:sz w:val="24"/>
          <w:szCs w:val="20"/>
          <w:highlight w:val="none"/>
          <w:lang w:val="en-US" w:eastAsia="zh-CN"/>
        </w:rPr>
        <w:t xml:space="preserve">③如涉嫌刑事移送司法机关；④</w:t>
      </w:r>
      <w:r>
        <w:rPr>
          <w:rFonts w:hint="eastAsia" w:ascii="宋体" w:hAnsi="宋体" w:eastAsia="宋体" w:cs="宋体"/>
          <w:b w:val="0"/>
          <w:bCs w:val="0"/>
          <w:color w:val="000000"/>
          <w:sz w:val="24"/>
          <w:szCs w:val="20"/>
          <w:highlight w:val="none"/>
        </w:rPr>
        <w:t xml:space="preserve">追究其耽误采购人进场时间、各项费用损失之法律责任。</w:t>
      </w:r>
      <w:r/>
    </w:p>
    <w:p>
      <w:pPr>
        <w:ind w:firstLine="482"/>
        <w:spacing w:line="360" w:lineRule="auto"/>
        <w:rPr>
          <w:rFonts w:hint="eastAsia" w:ascii="宋体" w:hAnsi="宋体" w:cs="宋体"/>
          <w:bCs/>
          <w:sz w:val="24"/>
          <w:highlight w:val="none"/>
        </w:rPr>
      </w:pPr>
      <w:r>
        <w:rPr>
          <w:rFonts w:hint="eastAsia" w:ascii="宋体" w:hAnsi="宋体" w:cs="宋体"/>
          <w:bCs/>
          <w:sz w:val="24"/>
          <w:highlight w:val="none"/>
        </w:rPr>
        <w:t xml:space="preserve">2.中标单位中标后，需根据招标文件参数要求，提供对应产品（相机类）进行安装、调试并接入滨海公安视频图像联网平台，视图采集须达到部、省要求，作为样品及验收标准予以保全。</w:t>
      </w:r>
      <w:r/>
    </w:p>
    <w:p>
      <w:pPr>
        <w:ind w:firstLine="482"/>
        <w:spacing w:line="360" w:lineRule="auto"/>
        <w:rPr>
          <w:rFonts w:hint="eastAsia" w:ascii="宋体" w:hAnsi="宋体" w:cs="宋体"/>
          <w:bCs/>
          <w:highlight w:val="none"/>
        </w:rPr>
      </w:pPr>
      <w:r>
        <w:rPr>
          <w:rFonts w:hint="eastAsia" w:ascii="宋体" w:hAnsi="宋体" w:cs="宋体"/>
          <w:bCs/>
          <w:sz w:val="24"/>
          <w:highlight w:val="none"/>
        </w:rPr>
        <w:t xml:space="preserve">3.所有设备进场（安装前）均需采购人和项目监理单位验收合格后方可进场施工安装。</w:t>
      </w:r>
      <w:r/>
    </w:p>
    <w:p>
      <w:pPr>
        <w:ind w:firstLine="4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4.各投标单位须综合考虑各点位施工现场情况、施工难度、人员调度、交通费用等等，各点位施工所产生的任何费用均包含在投标报价中，采购人不另外支付任何费用。</w:t>
      </w:r>
      <w:r/>
    </w:p>
    <w:p>
      <w:pPr>
        <w:ind w:firstLine="425"/>
        <w:jc w:val="left"/>
        <w:spacing w:line="360" w:lineRule="auto"/>
        <w:rPr>
          <w:rFonts w:hint="eastAsia" w:ascii="宋体" w:hAnsi="宋体" w:cs="宋体"/>
          <w:b/>
          <w:bCs w:val="0"/>
          <w:color w:val="ff0000"/>
          <w:sz w:val="24"/>
          <w:highlight w:val="none"/>
        </w:rPr>
      </w:pPr>
      <w:r>
        <w:rPr>
          <w:rFonts w:hint="eastAsia" w:ascii="宋体" w:hAnsi="宋体" w:cs="宋体"/>
          <w:b/>
          <w:bCs w:val="0"/>
          <w:color w:val="ff0000"/>
          <w:sz w:val="24"/>
          <w:highlight w:val="none"/>
        </w:rPr>
        <w:t xml:space="preserve">5.投标人必须承诺（格式自拟）：</w:t>
      </w:r>
      <w:r/>
    </w:p>
    <w:p>
      <w:pPr>
        <w:ind w:firstLine="425"/>
        <w:jc w:val="left"/>
        <w:spacing w:line="360" w:lineRule="auto"/>
        <w:rPr>
          <w:rFonts w:hint="eastAsia" w:ascii="宋体" w:hAnsi="宋体" w:cs="宋体"/>
          <w:b/>
          <w:bCs w:val="0"/>
          <w:color w:val="ff0000"/>
          <w:sz w:val="24"/>
          <w:highlight w:val="none"/>
          <w:lang w:bidi="ar"/>
        </w:rPr>
      </w:pPr>
      <w:r>
        <w:rPr>
          <w:rFonts w:hint="eastAsia" w:ascii="宋体" w:hAnsi="宋体" w:cs="宋体"/>
          <w:b/>
          <w:bCs w:val="0"/>
          <w:color w:val="ff0000"/>
          <w:sz w:val="24"/>
          <w:highlight w:val="none"/>
          <w:lang w:bidi="ar"/>
        </w:rPr>
        <w:t xml:space="preserve">①中标后提供运营商专线服务的证明；②提供与滨海县公安局现有视频联网平台的对接承诺函；③提供所投云存储服务器设备与县局原云存储管理系统无缝对接</w:t>
      </w:r>
      <w:r>
        <w:rPr>
          <w:rFonts w:hint="eastAsia" w:ascii="宋体" w:hAnsi="宋体" w:cs="宋体"/>
          <w:b/>
          <w:bCs w:val="0"/>
          <w:color w:val="ff0000"/>
          <w:sz w:val="24"/>
          <w:highlight w:val="none"/>
        </w:rPr>
        <w:t xml:space="preserve">承诺函。④提供所有软件功能的现场演示。中标单位在中标公告上网之日起七个工作日内至采购人处审核，若不能在规定的时间内提供相关证明材料和软件演示，①采购人将取消其中标候选人的中标资格并追究中标人的民事赔偿，②上报财政主管部门,将其列入黑名单，③如涉嫌刑事移送司法机关；④追究其耽误采购人进场时间、各项费用损失之法律责任。该项目需无缝对接至要求的相关平台，包含平台对接费用，采购人不另外支付任何费用。</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6.投标报价要求</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6.1 投</w:t>
      </w:r>
      <w:bookmarkStart w:id="175" w:name="_Hlt26954840"/>
      <w:r/>
      <w:bookmarkEnd w:id="175"/>
      <w:r>
        <w:rPr>
          <w:rFonts w:hint="eastAsia" w:ascii="宋体" w:hAnsi="宋体" w:cs="宋体"/>
          <w:bCs/>
          <w:sz w:val="24"/>
          <w:highlight w:val="none"/>
        </w:rPr>
        <w:t xml:space="preserve">标人应按照招标文件规定格式填报</w:t>
      </w:r>
      <w:bookmarkStart w:id="176" w:name="_Hlt26670399"/>
      <w:r/>
      <w:bookmarkEnd w:id="176"/>
      <w:r>
        <w:rPr>
          <w:rFonts w:hint="eastAsia" w:ascii="宋体" w:hAnsi="宋体" w:cs="宋体"/>
          <w:bCs/>
          <w:sz w:val="24"/>
          <w:highlight w:val="none"/>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6.2 标的物</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采购人需求的产品（含相关附配件、软件）的采购、包装、运输、装卸、安装、集成、调试、培训、验收、五年免费质量保修期内维保、售后服务等相伴随服务。</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6.3有关费用处理</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招标报价采用总承包方式，投标人的报价应包括所投产品（含相关附配件、软件）费用、包装费、运输费、装卸费、安装调试费、集成费、测</w:t>
      </w:r>
      <w:r>
        <w:rPr>
          <w:rFonts w:hint="eastAsia" w:ascii="宋体" w:hAnsi="宋体" w:cs="宋体"/>
          <w:b w:val="0"/>
          <w:bCs/>
          <w:color w:val="000000" w:themeColor="text1"/>
          <w:sz w:val="24"/>
          <w:highlight w:val="none"/>
          <w14:textFill>
            <w14:solidFill>
              <w14:schemeClr w14:val="tx1"/>
            </w14:solidFill>
          </w14:textFill>
        </w:rPr>
        <w:t xml:space="preserve">试费、培训费（含不少于6人无人机培训及获取相关证书费用）、验收费、售后服务</w:t>
      </w:r>
      <w:r>
        <w:rPr>
          <w:rFonts w:hint="eastAsia" w:ascii="宋体" w:hAnsi="宋体" w:cs="宋体"/>
          <w:bCs/>
          <w:sz w:val="24"/>
          <w:highlight w:val="none"/>
        </w:rPr>
        <w:t xml:space="preserve">费、投标费用、税金、招标代理服</w:t>
      </w:r>
      <w:r>
        <w:rPr>
          <w:rFonts w:hint="eastAsia" w:ascii="宋体" w:hAnsi="宋体" w:cs="宋体"/>
          <w:bCs/>
          <w:color w:val="000000" w:themeColor="text1"/>
          <w:sz w:val="24"/>
          <w:highlight w:val="none"/>
          <w14:textFill>
            <w14:solidFill>
              <w14:schemeClr w14:val="tx1"/>
            </w14:solidFill>
          </w14:textFill>
        </w:rPr>
        <w:t xml:space="preserve">务</w:t>
      </w:r>
      <w:r>
        <w:rPr>
          <w:rFonts w:hint="eastAsia" w:ascii="宋体" w:hAnsi="宋体" w:cs="宋体"/>
          <w:b w:val="0"/>
          <w:bCs/>
          <w:color w:val="000000" w:themeColor="text1"/>
          <w:sz w:val="24"/>
          <w:highlight w:val="none"/>
          <w14:textFill>
            <w14:solidFill>
              <w14:schemeClr w14:val="tx1"/>
            </w14:solidFill>
          </w14:textFill>
        </w:rPr>
        <w:t xml:space="preserve">费、</w:t>
      </w:r>
      <w:r>
        <w:rPr>
          <w:rFonts w:hint="eastAsia" w:ascii="宋体" w:hAnsi="宋体" w:cs="宋体"/>
          <w:b w:val="0"/>
          <w:bCs/>
          <w:color w:val="000000" w:themeColor="text1"/>
          <w:sz w:val="24"/>
          <w:highlight w:val="none"/>
          <w:lang w:eastAsia="zh-CN"/>
          <w14:textFill>
            <w14:solidFill>
              <w14:schemeClr w14:val="tx1"/>
            </w14:solidFill>
          </w14:textFill>
        </w:rPr>
        <w:t xml:space="preserve">无人机保险费（三责险、机身损害险、飞手意外险）</w:t>
      </w:r>
      <w:r>
        <w:rPr>
          <w:rFonts w:hint="eastAsia" w:ascii="宋体" w:hAnsi="宋体" w:cs="宋体"/>
          <w:b w:val="0"/>
          <w:bCs/>
          <w:color w:val="000000" w:themeColor="text1"/>
          <w:sz w:val="24"/>
          <w:highlight w:val="none"/>
          <w14:textFill>
            <w14:solidFill>
              <w14:schemeClr w14:val="tx1"/>
            </w14:solidFill>
          </w14:textFill>
        </w:rPr>
        <w:t xml:space="preserve">、税金、各类风险费、管</w:t>
      </w:r>
      <w:r>
        <w:rPr>
          <w:rFonts w:hint="eastAsia" w:ascii="宋体" w:hAnsi="宋体" w:cs="宋体"/>
          <w:bCs/>
          <w:color w:val="000000" w:themeColor="text1"/>
          <w:sz w:val="24"/>
          <w:highlight w:val="none"/>
          <w14:textFill>
            <w14:solidFill>
              <w14:schemeClr w14:val="tx1"/>
            </w14:solidFill>
          </w14:textFill>
        </w:rPr>
        <w:t xml:space="preserve">理费、利润、国际国内运输等保险费、报关清关、开证、办理全套免税手续费用及其他有关</w:t>
      </w:r>
      <w:r>
        <w:rPr>
          <w:rFonts w:hint="eastAsia" w:ascii="宋体" w:hAnsi="宋体" w:cs="宋体"/>
          <w:bCs/>
          <w:sz w:val="24"/>
          <w:highlight w:val="none"/>
        </w:rPr>
        <w:t xml:space="preserve">的为完成本项目发生的所有费用，招标文件中另有规定的除外。</w:t>
      </w:r>
      <w:r/>
    </w:p>
    <w:p>
      <w:pPr>
        <w:spacing w:line="300" w:lineRule="exact"/>
        <w:rPr>
          <w:rFonts w:hint="eastAsia" w:ascii="宋体" w:hAnsi="宋体"/>
          <w:b/>
          <w:bCs/>
          <w:color w:val="ff0000"/>
          <w:sz w:val="24"/>
          <w:highlight w:val="none"/>
        </w:rPr>
      </w:pPr>
      <w:r>
        <w:rPr>
          <w:rFonts w:hint="eastAsia" w:ascii="宋体" w:hAnsi="宋体"/>
          <w:b/>
          <w:bCs/>
          <w:color w:val="ff0000"/>
          <w:sz w:val="24"/>
          <w:highlight w:val="none"/>
        </w:rPr>
        <w:t xml:space="preserve">备注2：</w:t>
      </w:r>
      <w:r/>
    </w:p>
    <w:p>
      <w:pPr>
        <w:ind w:firstLine="482"/>
        <w:spacing w:line="400" w:lineRule="exact"/>
        <w:rPr>
          <w:rFonts w:hint="eastAsia" w:ascii="宋体" w:hAnsi="宋体"/>
          <w:b/>
          <w:bCs/>
          <w:color w:val="ff0000"/>
          <w:sz w:val="24"/>
          <w:highlight w:val="none"/>
        </w:rPr>
      </w:pPr>
      <w:r>
        <w:rPr>
          <w:rFonts w:hint="eastAsia" w:ascii="宋体" w:hAnsi="宋体"/>
          <w:b/>
          <w:bCs/>
          <w:color w:val="ff0000"/>
          <w:sz w:val="24"/>
          <w:highlight w:val="none"/>
        </w:rPr>
        <w:t xml:space="preserve">1.投标人应自行到项目现场进行踏勘，了解现场区域划分位置。充分了解位置、采购人需求、情况、规模及任何其它足以影响投标报价的情况，并将本项目可预见的相关费用考虑到投标报价中，中标后采购人可认为本项目可预见费用已包括在投标报价中。任何因忽视或误解项目情况而导致的索赔将不予认可。踏勘联系人：</w:t>
      </w:r>
      <w:r>
        <w:rPr>
          <w:rFonts w:hint="eastAsia" w:ascii="宋体" w:hAnsi="宋体"/>
          <w:b/>
          <w:bCs/>
          <w:color w:val="ff0000"/>
          <w:sz w:val="24"/>
          <w:highlight w:val="none"/>
          <w:u w:val="single"/>
        </w:rPr>
        <w:t xml:space="preserve">李先生</w:t>
      </w:r>
      <w:r>
        <w:rPr>
          <w:rFonts w:hint="eastAsia" w:ascii="宋体" w:hAnsi="宋体"/>
          <w:b/>
          <w:bCs/>
          <w:color w:val="ff0000"/>
          <w:sz w:val="24"/>
          <w:highlight w:val="none"/>
        </w:rPr>
        <w:t xml:space="preserve"> ，联系手机号码：</w:t>
      </w:r>
      <w:r>
        <w:rPr>
          <w:rFonts w:hint="eastAsia" w:ascii="宋体" w:hAnsi="宋体"/>
          <w:b/>
          <w:bCs/>
          <w:color w:val="ff0000"/>
          <w:sz w:val="24"/>
          <w:highlight w:val="none"/>
          <w:u w:val="single"/>
        </w:rPr>
        <w:t xml:space="preserve">15151021616</w:t>
      </w:r>
      <w:r>
        <w:rPr>
          <w:rFonts w:hint="eastAsia" w:ascii="宋体" w:hAnsi="宋体"/>
          <w:b/>
          <w:bCs/>
          <w:color w:val="ff0000"/>
          <w:sz w:val="24"/>
          <w:highlight w:val="none"/>
        </w:rPr>
        <w:t xml:space="preserve">。</w:t>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2.特别说明：</w:t>
      </w:r>
      <w:r/>
    </w:p>
    <w:p>
      <w:pPr>
        <w:ind w:firstLine="480"/>
        <w:spacing w:line="400" w:lineRule="exact"/>
        <w:rPr>
          <w:rFonts w:hint="eastAsia" w:ascii="宋体" w:hAnsi="宋体"/>
          <w:sz w:val="24"/>
          <w:highlight w:val="none"/>
        </w:rPr>
      </w:pPr>
      <w:r>
        <w:rPr>
          <w:rFonts w:hint="eastAsia" w:ascii="宋体" w:hAnsi="宋体" w:cs="宋体"/>
          <w:bCs/>
          <w:sz w:val="24"/>
          <w:highlight w:val="none"/>
        </w:rPr>
        <w:t xml:space="preserve">1.所报配置为主要配置，其他按标准配置配备；不得在原厂标准配置的基础上减少或降低技术</w:t>
      </w:r>
      <w:r>
        <w:rPr>
          <w:rFonts w:hint="eastAsia" w:ascii="宋体" w:hAnsi="宋体"/>
          <w:sz w:val="24"/>
          <w:highlight w:val="none"/>
        </w:rPr>
        <w:t xml:space="preserve">配置。</w:t>
      </w:r>
      <w:r/>
    </w:p>
    <w:p>
      <w:pPr>
        <w:ind w:firstLine="480"/>
        <w:spacing w:line="400" w:lineRule="exact"/>
        <w:rPr>
          <w:rFonts w:hint="eastAsia" w:ascii="宋体" w:hAnsi="宋体"/>
          <w:sz w:val="24"/>
          <w:highlight w:val="none"/>
        </w:rPr>
      </w:pPr>
      <w:r>
        <w:rPr>
          <w:rFonts w:hint="eastAsia" w:ascii="宋体" w:hAnsi="宋体"/>
          <w:sz w:val="24"/>
          <w:highlight w:val="none"/>
        </w:rPr>
        <w:t xml:space="preserve">2.招标人有权对中标企业进行现场考察如资质业绩等，经审查不符合招标文件的规定，招标人有权建议有关部门取消其中标资格。</w:t>
      </w:r>
      <w:r/>
    </w:p>
    <w:p>
      <w:pPr>
        <w:ind w:firstLine="480"/>
        <w:spacing w:line="400" w:lineRule="exact"/>
        <w:tabs>
          <w:tab w:val="left" w:pos="471" w:leader="none"/>
        </w:tabs>
        <w:rPr>
          <w:rFonts w:hint="eastAsia" w:ascii="宋体" w:hAnsi="宋体"/>
          <w:sz w:val="24"/>
          <w:highlight w:val="none"/>
        </w:rPr>
      </w:pPr>
      <w:r>
        <w:rPr>
          <w:rFonts w:hint="eastAsia" w:ascii="宋体" w:hAnsi="宋体"/>
          <w:sz w:val="24"/>
          <w:highlight w:val="none"/>
        </w:rPr>
        <w:t xml:space="preserve">3.报价含交付使用前一切费用；本次招标不接受选择性报价。</w:t>
      </w:r>
      <w:r/>
    </w:p>
    <w:p>
      <w:pPr>
        <w:jc w:val="left"/>
        <w:spacing w:line="360" w:lineRule="auto"/>
        <w:shd w:val="clear" w:color="auto" w:fill="ffffff"/>
        <w:widowControl/>
        <w:rPr>
          <w:rFonts w:ascii="Arial" w:hAnsi="Arial" w:eastAsia="Arial" w:cs="Arial"/>
          <w:b/>
          <w:color w:val="000000"/>
          <w:sz w:val="24"/>
          <w:highlight w:val="none"/>
        </w:rPr>
      </w:pPr>
      <w:r>
        <w:rPr>
          <w:rFonts w:hint="eastAsia" w:hAnsi="宋体" w:cs="宋体"/>
          <w:b/>
          <w:color w:val="000000"/>
          <w:szCs w:val="21"/>
          <w:highlight w:val="none"/>
        </w:rPr>
        <w:t xml:space="preserve">四</w:t>
      </w:r>
      <w:r>
        <w:rPr>
          <w:rFonts w:hint="eastAsia" w:ascii="Arial" w:hAnsi="Arial" w:eastAsia="Arial" w:cs="Arial"/>
          <w:b/>
          <w:color w:val="000000"/>
          <w:sz w:val="24"/>
          <w:highlight w:val="none"/>
        </w:rPr>
        <w:t xml:space="preserve">、付款方式：</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1.合同签定后，甲方在收到乙方开具合同价款30%的预付款银行保函后支付预付款；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注：1）将合同价款30%的预付款汇入农民工工资专用账户。</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2）项目竣工验收完成后,项目建设单位须将所有项目材料装订成册，移交县局档案室统一管理。</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4）通过竣工验收的项目，未向县局档案室移交档案的，或者未向警保部门登记国有资产入库的，不得支付项目尾款。</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5）项目建设单位应当在项目验收合格后一个月内向审计部门提交项目材料并申请审计，项目结算审计核减金额超过送审金额的10%，审计费用由承建单位承担。</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6）对于满足合同约定支付条件的，采购人应当自收到发票后 10个工作日内将资金支付到合同约定的供应商账户。</w:t>
      </w:r>
      <w:r/>
    </w:p>
    <w:p>
      <w:pPr>
        <w:ind w:firstLine="480"/>
        <w:jc w:val="left"/>
        <w:spacing w:line="340" w:lineRule="exact"/>
        <w:shd w:val="clear" w:color="auto" w:fill="ffffff"/>
        <w:widowControl/>
        <w:tabs>
          <w:tab w:val="left" w:pos="630" w:leader="none"/>
        </w:tabs>
        <w:rPr>
          <w:rFonts w:hint="eastAsia" w:ascii="宋体" w:hAnsi="宋体" w:cs="宋体"/>
          <w:color w:val="ff0000"/>
          <w:sz w:val="24"/>
          <w:highlight w:val="none"/>
        </w:rPr>
      </w:pPr>
      <w:r>
        <w:rPr>
          <w:rFonts w:hint="eastAsia" w:ascii="宋体" w:hAnsi="宋体" w:cs="宋体"/>
          <w:b/>
          <w:bCs/>
          <w:color w:val="ff0000"/>
          <w:sz w:val="24"/>
          <w:highlight w:val="none"/>
        </w:rPr>
        <w:t xml:space="preserve">2.当采购数量与实际使用数量不一致时，乙方应根据实际使用量供货，合同的最终结算金额按实际使用量乘以成交单价进行计算。</w:t>
      </w:r>
      <w:r/>
    </w:p>
    <w:p>
      <w:pPr>
        <w:ind w:firstLine="480"/>
        <w:spacing w:after="145" w:line="340" w:lineRule="exact"/>
        <w:tabs>
          <w:tab w:val="left" w:pos="90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乙方在甲方支付预付款前，必须提供预付款同等金额的银行保函，以确保甲方的资金安全。该保函必须是无条件即索即兑的银行保函，保函有效期为签订合同后6个月，保函开具行必须为甲方指定行，且须完全符合甲方要求。如</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未按上述要求在签订合同前15日内未提供银行保函，则视为</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无条件放弃预付款。</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五、供货期限（含安装调试工期）：</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日历天</w:t>
      </w:r>
      <w:r>
        <w:rPr>
          <w:rFonts w:hint="eastAsia" w:ascii="宋体" w:hAnsi="宋体" w:cs="宋体"/>
          <w:b/>
          <w:bCs/>
          <w:color w:val="000000"/>
          <w:sz w:val="24"/>
          <w:highlight w:val="none"/>
        </w:rPr>
        <w:t xml:space="preserve">。</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六、免费质量保修期</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eastAsia="zh-CN"/>
        </w:rPr>
        <w:t xml:space="preserve">五年（自项目竣工验收合格之日起计算）</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 </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七、质量标准：</w:t>
      </w:r>
      <w:r>
        <w:rPr>
          <w:rFonts w:hint="eastAsia" w:ascii="宋体" w:hAnsi="宋体" w:cs="宋体"/>
          <w:color w:val="000000"/>
          <w:sz w:val="24"/>
          <w:highlight w:val="none"/>
        </w:rPr>
        <w:t xml:space="preserve">合格。</w:t>
      </w:r>
      <w:r>
        <w:rPr>
          <w:rFonts w:hint="eastAsia" w:ascii="宋体" w:hAnsi="宋体" w:cs="宋体"/>
          <w:b/>
          <w:bCs/>
          <w:color w:val="000000"/>
          <w:sz w:val="24"/>
          <w:highlight w:val="none"/>
        </w:rPr>
        <w:t xml:space="preserve">  </w:t>
      </w:r>
      <w:r/>
    </w:p>
    <w:p>
      <w:pPr>
        <w:ind w:firstLine="482"/>
        <w:spacing w:before="120" w:after="120"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八、项目地点(交货地点)：</w:t>
      </w:r>
      <w:r>
        <w:rPr>
          <w:rFonts w:hint="eastAsia" w:ascii="宋体" w:hAnsi="宋体" w:cs="宋体"/>
          <w:color w:val="000000"/>
          <w:sz w:val="24"/>
          <w:highlight w:val="none"/>
        </w:rPr>
        <w:t xml:space="preserve">滨海县范围内，采购人指定地点。</w:t>
      </w:r>
      <w:r/>
    </w:p>
    <w:p>
      <w:pPr>
        <w:ind w:firstLine="48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九、售后服务及其他（含安装、调试、维护等）</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1.在招标文件规定的5年质量保修期内，投标人应对招标范围内所有损坏（人为损坏除外）的货物及零部件修理或更换，并承担由此所发生的修理或更换费、检测费、维修人员工资、往返费用等一切费用。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color w:val="000000"/>
          <w:sz w:val="24"/>
          <w:highlight w:val="none"/>
        </w:rPr>
      </w:pPr>
      <w:r>
        <w:rPr>
          <w:rFonts w:hint="eastAsia" w:ascii="宋体" w:hAnsi="宋体" w:cs="宋体"/>
          <w:bCs/>
          <w:sz w:val="24"/>
          <w:highlight w:val="none"/>
        </w:rPr>
        <w:t xml:space="preserve">2.在5年质量保修期内，免</w:t>
      </w:r>
      <w:r>
        <w:rPr>
          <w:rFonts w:hint="eastAsia" w:ascii="宋体" w:hAnsi="宋体" w:cs="宋体"/>
          <w:color w:val="000000"/>
          <w:sz w:val="24"/>
          <w:highlight w:val="none"/>
        </w:rPr>
        <w:t xml:space="preserve">费质保期内提供7×24小时服务，</w:t>
      </w:r>
      <w:r>
        <w:rPr>
          <w:rFonts w:hint="eastAsia" w:ascii="宋体" w:hAnsi="宋体" w:cs="宋体"/>
          <w:bCs/>
          <w:sz w:val="24"/>
          <w:highlight w:val="none"/>
        </w:rPr>
        <w:t xml:space="preserve">接到采购人报修电话后</w:t>
      </w:r>
      <w:r>
        <w:rPr>
          <w:rFonts w:hint="eastAsia" w:ascii="宋体" w:hAnsi="宋体" w:cs="宋体"/>
          <w:color w:val="000000"/>
          <w:sz w:val="24"/>
          <w:highlight w:val="none"/>
        </w:rPr>
        <w:t xml:space="preserve">1小时内做出响应</w:t>
      </w:r>
      <w:r>
        <w:rPr>
          <w:rFonts w:hint="eastAsia" w:ascii="宋体" w:hAnsi="宋体" w:cs="宋体"/>
          <w:bCs/>
          <w:sz w:val="24"/>
          <w:highlight w:val="none"/>
        </w:rPr>
        <w:t xml:space="preserve">，派遣有经验的维修人员在</w:t>
      </w:r>
      <w:r>
        <w:rPr>
          <w:rFonts w:hint="eastAsia" w:ascii="宋体" w:hAnsi="宋体" w:cs="宋体"/>
          <w:b/>
          <w:sz w:val="24"/>
          <w:highlight w:val="none"/>
          <w:u w:val="single"/>
        </w:rPr>
        <w:t xml:space="preserve">2</w:t>
      </w:r>
      <w:r>
        <w:rPr>
          <w:rFonts w:hint="eastAsia" w:ascii="宋体" w:hAnsi="宋体" w:cs="宋体"/>
          <w:bCs/>
          <w:sz w:val="24"/>
          <w:highlight w:val="none"/>
        </w:rPr>
        <w:t xml:space="preserve">小时内（具体以甲方的规定为准）到达现场提供维修服务。</w:t>
      </w:r>
      <w:r>
        <w:rPr>
          <w:rFonts w:hint="eastAsia" w:ascii="宋体" w:hAnsi="宋体" w:cs="宋体"/>
          <w:color w:val="000000"/>
          <w:sz w:val="24"/>
          <w:highlight w:val="none"/>
        </w:rPr>
        <w:t xml:space="preserve">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3.在5年质量保修期内，如需要更换零部件，保证须在一周内完成，所供零部件的性能和作用不低于原配置要求，否则，采购人有权自行购置，费用在合同款中扣付。</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4.在5年质量保修期满后，如采购人仍要求供应商提供相关服务，投标人还应提供服务，但发生的费用由采购人承担。</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标人负责完成货物安装、调试、运行和验收交付等工作。投标人应提供详细、可行的供货及安装、调试方案，售后服务及培训方案，并根据项目进度详细列出各个阶段采购人需要配合的内容。培训内容为本货物系统操作及常见问题处理，确保使用人员具备独立工作的能力。</w:t>
      </w:r>
      <w:r/>
    </w:p>
    <w:p>
      <w:pPr>
        <w:pStyle w:val="949"/>
        <w:ind w:left="0" w:firstLine="480"/>
        <w:spacing w:line="400" w:lineRule="exact"/>
        <w:rPr>
          <w:rFonts w:hint="default" w:ascii="宋体" w:hAnsi="宋体" w:cs="宋体"/>
          <w:color w:val="000000"/>
          <w:highlight w:val="none"/>
          <w:lang w:val="en-US" w:eastAsia="zh-CN"/>
        </w:rPr>
      </w:pPr>
      <w:r>
        <w:rPr>
          <w:rFonts w:hint="eastAsia" w:ascii="宋体" w:hAnsi="宋体" w:cs="宋体"/>
          <w:color w:val="000000"/>
          <w:highlight w:val="none"/>
          <w:lang w:eastAsia="zh-CN"/>
        </w:rPr>
        <w:t xml:space="preserve">6.货物验收合格交付采购人之前的所有风险由中标人承担。</w:t>
      </w:r>
      <w:r/>
    </w:p>
    <w:p>
      <w:pPr>
        <w:pStyle w:val="949"/>
        <w:ind w:left="0" w:firstLine="482"/>
        <w:spacing w:line="400" w:lineRule="exact"/>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十、质量要求：</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1.质量等级为“合格”,并符合招标文件中技术要求、国家现行的相关规范标准及有关部门颁布的较高标准；项目确保按规范和标准验收，且达国家合格标准。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单位不能简单照搬招标文件提供的需求，必须按招标文件技术规格作出实质性应答，如照搬照抄项目需求中的技术的，中标后投标供应商在同采购人签订合同和履约环节中不得提出异议，一切后果和损失由中标供应商承担。</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3.投标人须明确所投设备的品牌、型号等。</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人应保证货物是全新、未使用过的原厂合格产品，并完全符合招标文件规定的质量、规格和参数的要求。验收过程中发现产品不符合上述要求的，将视作不合格产品，使用方有权终止合同，造成的一切损失由供应商承担。 </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5.投标人应保证提供的产品不得侵犯第三方专利权、商标权和设计权、版权等。否则，供应商应负全部责任，并承担由此引起的一切后果。</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6.投标人应保证其货物在正确安装、正常使用下，在其使用寿命期内应具有满意的性能。</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7.投标人应采取必要的安全措施保证货物的运输及安装的安全，并承担货物的运输及安装过程中产生的风险。</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8.所有报价的产品的各项技术标准应当符合现行相关生产标准和规范及招标文件的要求。</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9.招标人将邀请专业人员，对安装到位的设备进行全面检查，发现使用不符合要求的产品，无条件更换，另交监管部门处理。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10.供货时必须随产品提供出厂材料，包括但不限于检验报告、产品合格证（原件）以及设备的测试、运行、保养手册。</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提供的货物及服务如需接入其他数据接入及提取系统，上述接入费用由</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承担。招标人需将其他系统接入本次招标的货物及服务时，</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应免费配合接入，不得收取任何费用。如</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未能按上述需求免费接入对应系统或开放数据端口，则视为</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违约，由采购人自行接入，采购人有权扣除所有货款。</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投标前须自行勘察现场，如设备安装运行需涉及基建等前期改造，则相关一切费用均有</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自行承担，并包含在投标报价中，采购人不再另外支付。如因基建等改造导致工期延误，则视为</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违约，相关违约责任由</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承担，采购人有权扣除合同金额的10%作为合同违约金。</w:t>
      </w:r>
      <w:r/>
    </w:p>
    <w:p>
      <w:pPr>
        <w:pStyle w:val="942"/>
        <w:ind w:firstLine="480"/>
        <w:jc w:val="both"/>
        <w:spacing w:beforeAutospacing="0" w:afterAutospacing="0" w:line="400" w:lineRule="exact"/>
        <w:rPr>
          <w:rFonts w:ascii="Arial" w:hAnsi="Arial" w:eastAsia="Arial" w:cs="Arial"/>
          <w:b/>
          <w:bCs/>
          <w:highlight w:val="none"/>
        </w:rPr>
      </w:pPr>
      <w:r>
        <w:rPr>
          <w:rFonts w:hint="eastAsia" w:ascii="Arial" w:hAnsi="Arial" w:cs="Arial"/>
          <w:b/>
          <w:bCs/>
          <w:highlight w:val="none"/>
        </w:rPr>
        <w:t xml:space="preserve">十一</w:t>
      </w:r>
      <w:r>
        <w:rPr>
          <w:rFonts w:hint="eastAsia" w:ascii="Arial" w:hAnsi="Arial" w:eastAsia="Arial" w:cs="Arial"/>
          <w:b/>
          <w:bCs/>
          <w:highlight w:val="none"/>
        </w:rPr>
        <w:t xml:space="preserve">、安装要求</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1.所有安装施工材料质量及施工质量必须严格按照国家规范及地方规范的有关要求执行。</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2.设备在安装时，应根据生产厂家所提供的产品安装说明书施工，安装辅材必须采用优质产品。</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3.中标人应对安装施工质量全面负责，文明、安全施工，如中标人原因造成质量事故、中标人承担一切经济法律责任。</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4.在实施期间，中标人应无条件的遵守施工现场的各项规章制度。</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5.实施期间，中标人应无条件的接受采购人的质量监督，提出的质量问题要及时整改，整改完毕后通知采购人检查验收，合格后书面报送采购人备案。</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6.中标人必须按照工程设计和技术标准施工，不得擅自修改工程设计，不得偷工减料。</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pStyle w:val="942"/>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8.中标人必须负责安装过程中对采购人原有装修的破坏进行修复，恢复原状，该费用包含于总投标报价中。</w:t>
      </w:r>
      <w:r/>
    </w:p>
    <w:p>
      <w:pPr>
        <w:pStyle w:val="942"/>
        <w:ind w:firstLine="480"/>
        <w:jc w:val="both"/>
        <w:spacing w:beforeAutospacing="0" w:afterAutospacing="0" w:line="400" w:lineRule="exact"/>
        <w:rPr>
          <w:rFonts w:hint="eastAsia" w:ascii="Arial" w:hAnsi="Arial" w:eastAsia="Arial" w:cs="Arial"/>
          <w:highlight w:val="none"/>
        </w:rPr>
      </w:pPr>
      <w:r>
        <w:rPr>
          <w:rFonts w:hint="eastAsia" w:ascii="Arial" w:hAnsi="Arial" w:eastAsia="Arial" w:cs="Arial"/>
          <w:highlight w:val="none"/>
        </w:rPr>
        <w:t xml:space="preserve">9.中标人的报价包含了采购人现有场地条件下，进行设备的安装调试达到可使用状态，并含验收合格前的所有费用。</w:t>
      </w:r>
      <w:r/>
    </w:p>
    <w:p>
      <w:pPr>
        <w:pStyle w:val="733"/>
        <w:ind w:left="0" w:right="0"/>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十二、培训</w:t>
      </w:r>
      <w:r>
        <w:rPr>
          <w:b/>
          <w:bCs/>
          <w:color w:val="000000"/>
          <w:sz w:val="24"/>
          <w:szCs w:val="24"/>
        </w:rPr>
        <w:t xml:space="preserve">要求</w:t>
      </w:r>
      <w:r/>
    </w:p>
    <w:p>
      <w:pPr>
        <w:rPr>
          <w:rFonts w:hint="default" w:eastAsia="宋体"/>
          <w:lang w:val="en-US" w:eastAsia="zh-CN"/>
        </w:rPr>
      </w:pPr>
      <w:r>
        <w:rPr>
          <w:rFonts w:hint="eastAsia"/>
          <w:color w:val="000000"/>
          <w:sz w:val="24"/>
          <w:szCs w:val="24"/>
          <w:lang w:val="en-US" w:eastAsia="zh-CN"/>
        </w:rPr>
        <w:t xml:space="preserve"> （一）总体要求</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中标人必须提</w:t>
      </w:r>
      <w:r>
        <w:rPr>
          <w:b w:val="0"/>
          <w:bCs w:val="0"/>
          <w:color w:val="000000"/>
          <w:sz w:val="24"/>
          <w:szCs w:val="24"/>
        </w:rPr>
        <w:t xml:space="preserve">供</w:t>
      </w:r>
      <w:r>
        <w:rPr>
          <w:rStyle w:val="762"/>
          <w:b w:val="0"/>
          <w:bCs w:val="0"/>
          <w:color w:val="000000"/>
          <w:sz w:val="24"/>
          <w:szCs w:val="24"/>
        </w:rPr>
        <w:t xml:space="preserve">免费、专业、完整的全流程培训</w:t>
      </w:r>
      <w:r>
        <w:rPr>
          <w:b w:val="0"/>
          <w:bCs w:val="0"/>
          <w:color w:val="000000"/>
          <w:sz w:val="24"/>
          <w:szCs w:val="24"/>
        </w:rPr>
        <w:t xml:space="preserve">，培训费用全部包含在投标报价中，采购人不再另行支付任何费用。</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2.</w:t>
      </w:r>
      <w:r>
        <w:rPr>
          <w:b w:val="0"/>
          <w:bCs w:val="0"/>
          <w:color w:val="000000"/>
          <w:sz w:val="24"/>
          <w:szCs w:val="24"/>
        </w:rPr>
        <w:t xml:space="preserve">培训对象：</w:t>
      </w:r>
      <w:r>
        <w:rPr>
          <w:rStyle w:val="762"/>
          <w:b w:val="0"/>
          <w:bCs w:val="0"/>
          <w:color w:val="000000"/>
          <w:sz w:val="24"/>
          <w:szCs w:val="24"/>
        </w:rPr>
        <w:t xml:space="preserve">公安民警、辅警、运维人员、平台管理员、无人机飞手</w:t>
      </w:r>
      <w:r>
        <w:rPr>
          <w:b w:val="0"/>
          <w:bCs w:val="0"/>
          <w:color w:val="000000"/>
          <w:sz w:val="24"/>
          <w:szCs w:val="24"/>
        </w:rPr>
        <w:t xml:space="preserve">等，</w:t>
      </w:r>
      <w:r>
        <w:rPr>
          <w:rStyle w:val="762"/>
          <w:b w:val="0"/>
          <w:bCs w:val="0"/>
          <w:color w:val="000000"/>
          <w:sz w:val="24"/>
          <w:szCs w:val="24"/>
        </w:rPr>
        <w:t xml:space="preserve">总人数不少20人</w:t>
      </w:r>
      <w:r>
        <w:rPr>
          <w:rStyle w:val="762"/>
          <w:rFonts w:hint="eastAsia"/>
          <w:b w:val="0"/>
          <w:bCs w:val="0"/>
          <w:color w:val="000000"/>
          <w:sz w:val="24"/>
          <w:szCs w:val="24"/>
          <w:lang w:eastAsia="zh-CN"/>
        </w:rPr>
        <w:t xml:space="preserve">（</w:t>
      </w:r>
      <w:r>
        <w:rPr>
          <w:rStyle w:val="762"/>
          <w:rFonts w:hint="eastAsia"/>
          <w:b w:val="0"/>
          <w:bCs w:val="0"/>
          <w:color w:val="000000"/>
          <w:sz w:val="24"/>
          <w:szCs w:val="24"/>
          <w:lang w:val="en-US" w:eastAsia="zh-CN"/>
        </w:rPr>
        <w:t xml:space="preserve">具体以采购人的要求为准</w:t>
      </w:r>
      <w:r>
        <w:rPr>
          <w:rStyle w:val="762"/>
          <w:rFonts w:hint="eastAsia"/>
          <w:b w:val="0"/>
          <w:bCs w:val="0"/>
          <w:color w:val="000000"/>
          <w:sz w:val="24"/>
          <w:szCs w:val="24"/>
          <w:lang w:eastAsia="zh-CN"/>
        </w:rPr>
        <w:t xml:space="preserve">）</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3.</w:t>
      </w:r>
      <w:r>
        <w:rPr>
          <w:b w:val="0"/>
          <w:bCs w:val="0"/>
          <w:color w:val="000000"/>
          <w:sz w:val="24"/>
          <w:szCs w:val="24"/>
        </w:rPr>
        <w:t xml:space="preserve">培训地点：</w:t>
      </w:r>
      <w:r>
        <w:rPr>
          <w:rStyle w:val="762"/>
          <w:b w:val="0"/>
          <w:bCs w:val="0"/>
          <w:color w:val="000000"/>
          <w:sz w:val="24"/>
          <w:szCs w:val="24"/>
        </w:rPr>
        <w:t xml:space="preserve">滨海县公安局指定地点</w:t>
      </w:r>
      <w:r>
        <w:rPr>
          <w:b w:val="0"/>
          <w:bCs w:val="0"/>
          <w:color w:val="000000"/>
          <w:sz w:val="24"/>
          <w:szCs w:val="24"/>
        </w:rPr>
        <w:t xml:space="preserve">；特殊专业内容可安排厂家现场培训。</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w:t>
      </w:r>
      <w:r>
        <w:rPr>
          <w:b w:val="0"/>
          <w:bCs w:val="0"/>
          <w:color w:val="000000"/>
          <w:sz w:val="24"/>
          <w:szCs w:val="24"/>
        </w:rPr>
        <w:t xml:space="preserve">培训形式：理论授课 + 现场实操 + 故障演练 + 考核发证。</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5.</w:t>
      </w:r>
      <w:r>
        <w:rPr>
          <w:b w:val="0"/>
          <w:bCs w:val="0"/>
          <w:color w:val="000000"/>
          <w:sz w:val="24"/>
          <w:szCs w:val="24"/>
        </w:rPr>
        <w:t xml:space="preserve">培训语言：</w:t>
      </w:r>
      <w:r>
        <w:rPr>
          <w:rStyle w:val="762"/>
          <w:b w:val="0"/>
          <w:bCs w:val="0"/>
          <w:color w:val="000000"/>
          <w:sz w:val="24"/>
          <w:szCs w:val="24"/>
        </w:rPr>
        <w:t xml:space="preserve">简体中文</w:t>
      </w:r>
      <w:r>
        <w:rPr>
          <w:b w:val="0"/>
          <w:bCs w:val="0"/>
          <w:color w:val="000000"/>
          <w:sz w:val="24"/>
          <w:szCs w:val="24"/>
        </w:rPr>
        <w:t xml:space="preserve">，提供完整电子版教材、操作手册、视频教程。</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6.</w:t>
      </w:r>
      <w:r>
        <w:rPr>
          <w:b w:val="0"/>
          <w:bCs w:val="0"/>
          <w:color w:val="000000"/>
          <w:sz w:val="24"/>
          <w:szCs w:val="24"/>
        </w:rPr>
        <w:t xml:space="preserve">培训目标：</w:t>
      </w:r>
      <w:r>
        <w:rPr>
          <w:rStyle w:val="762"/>
          <w:b w:val="0"/>
          <w:bCs w:val="0"/>
          <w:color w:val="000000"/>
          <w:sz w:val="24"/>
          <w:szCs w:val="24"/>
        </w:rPr>
        <w:t xml:space="preserve">参训人员独立操作、独立维护、独立排故、独立应急处置</w:t>
      </w:r>
      <w:r>
        <w:rPr>
          <w:b w:val="0"/>
          <w:bCs w:val="0"/>
          <w:color w:val="000000"/>
          <w:sz w:val="24"/>
          <w:szCs w:val="24"/>
        </w:rPr>
        <w:t xml:space="preserve">，经考核合格方可上岗。</w:t>
      </w:r>
      <w:r/>
    </w:p>
    <w:p>
      <w:pPr>
        <w:pStyle w:val="733"/>
        <w:ind w:left="0" w:right="0"/>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eastAsia="zh-CN"/>
        </w:rPr>
        <w:t xml:space="preserve">（</w:t>
      </w:r>
      <w:r>
        <w:rPr>
          <w:rFonts w:hint="eastAsia" w:eastAsia="宋体"/>
          <w:color w:val="000000"/>
          <w:sz w:val="24"/>
          <w:szCs w:val="24"/>
          <w:lang w:val="en-US" w:eastAsia="zh-CN"/>
        </w:rPr>
        <w:t xml:space="preserve">二</w:t>
      </w:r>
      <w:r>
        <w:rPr>
          <w:rFonts w:hint="eastAsia" w:eastAsia="宋体"/>
          <w:color w:val="000000"/>
          <w:sz w:val="24"/>
          <w:szCs w:val="24"/>
          <w:lang w:eastAsia="zh-CN"/>
        </w:rPr>
        <w:t xml:space="preserve">）</w:t>
      </w:r>
      <w:r>
        <w:rPr>
          <w:color w:val="000000"/>
          <w:sz w:val="24"/>
          <w:szCs w:val="24"/>
        </w:rPr>
        <w:t xml:space="preserve">分系统培训内容</w:t>
      </w:r>
      <w:r/>
    </w:p>
    <w:p>
      <w:pPr>
        <w:pStyle w:val="734"/>
        <w:ind w:left="0" w:right="0"/>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val="en-US" w:eastAsia="zh-CN"/>
        </w:rPr>
        <w:t xml:space="preserve">1、</w:t>
      </w:r>
      <w:r>
        <w:rPr>
          <w:color w:val="000000"/>
          <w:sz w:val="24"/>
          <w:szCs w:val="24"/>
        </w:rPr>
        <w:t xml:space="preserve">前端抓拍系统培训（货车、非机动车、违停、高速卡口）</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1.1</w:t>
      </w:r>
      <w:r>
        <w:rPr>
          <w:color w:val="000000"/>
          <w:sz w:val="24"/>
          <w:szCs w:val="24"/>
        </w:rPr>
        <w:t xml:space="preserve">设备原理、参数、接口、接线规范；</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1.2</w:t>
      </w:r>
      <w:r>
        <w:rPr>
          <w:color w:val="000000"/>
          <w:sz w:val="24"/>
          <w:szCs w:val="24"/>
        </w:rPr>
        <w:t xml:space="preserve">安装调试、参数配置、校准流程；</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1.3</w:t>
      </w:r>
      <w:r>
        <w:rPr>
          <w:color w:val="000000"/>
          <w:sz w:val="24"/>
          <w:szCs w:val="24"/>
        </w:rPr>
        <w:t xml:space="preserve">日常巡检、清洁、防雷、维护保养；</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1.4</w:t>
      </w:r>
      <w:r>
        <w:rPr>
          <w:color w:val="000000"/>
          <w:sz w:val="24"/>
          <w:szCs w:val="24"/>
        </w:rPr>
        <w:t xml:space="preserve">常见故障排查：离线、无抓拍、识别失败、卡顿、丢包、电源故障、网络故障；</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1.5</w:t>
      </w:r>
      <w:r>
        <w:rPr>
          <w:color w:val="000000"/>
          <w:sz w:val="24"/>
          <w:szCs w:val="24"/>
        </w:rPr>
        <w:t xml:space="preserve">后台操作：设备管理、抓拍查看、回放、导出、统计、参数下发、远程维护；</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1.6</w:t>
      </w:r>
      <w:r>
        <w:rPr>
          <w:color w:val="000000"/>
          <w:sz w:val="24"/>
          <w:szCs w:val="24"/>
        </w:rPr>
        <w:t xml:space="preserve">数据安全、权限管理、日志查询、异常告警处置；</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1.7</w:t>
      </w:r>
      <w:r>
        <w:rPr>
          <w:color w:val="000000"/>
          <w:sz w:val="24"/>
          <w:szCs w:val="24"/>
        </w:rPr>
        <w:t xml:space="preserve">应急处置：设备断电、雷击、损坏、快速更换流程。</w:t>
      </w:r>
      <w:r/>
    </w:p>
    <w:p>
      <w:pPr>
        <w:pStyle w:val="734"/>
        <w:ind w:left="0" w:right="0"/>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24"/>
          <w:szCs w:val="24"/>
          <w:lang w:val="en-US" w:eastAsia="zh-CN"/>
        </w:rPr>
        <w:t xml:space="preserve">2、</w:t>
      </w:r>
      <w:r>
        <w:rPr>
          <w:color w:val="000000"/>
          <w:sz w:val="24"/>
          <w:szCs w:val="24"/>
        </w:rPr>
        <w:t xml:space="preserve">无人机系统专项培训</w:t>
      </w:r>
      <w:r/>
    </w:p>
    <w:p>
      <w:pPr>
        <w:ind w:left="0" w:right="0"/>
        <w:jc w:val="left"/>
        <w:keepLines w:val="0"/>
        <w:keepNext w:val="0"/>
        <w:spacing w:before="0" w:beforeAutospacing="0" w:after="0" w:afterAutospacing="0" w:line="360" w:lineRule="atLeast"/>
        <w:widowControl/>
        <w:rPr>
          <w:rStyle w:val="762"/>
          <w:rFonts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Style w:val="762"/>
          <w:rFonts w:ascii="宋体" w:hAnsi="宋体" w:eastAsia="宋体" w:cs="宋体"/>
          <w:b w:val="0"/>
          <w:bCs w:val="0"/>
          <w:color w:val="000000"/>
          <w:sz w:val="24"/>
          <w:szCs w:val="24"/>
          <w:lang w:val="en-US" w:eastAsia="zh-CN" w:bidi="ar"/>
        </w:rPr>
        <w:t xml:space="preserve">理论培训（不少于8学时）</w:t>
      </w:r>
      <w:r/>
    </w:p>
    <w:p>
      <w:pPr>
        <w:ind w:left="0"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民航法规、空域管理、禁飞区、安全规范；</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无人机原理、结构、电池、机库、遥控器、软件平台；</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飞行原理、航线规划、安全飞行、应急处置。</w:t>
      </w:r>
      <w:r/>
    </w:p>
    <w:p>
      <w:pPr>
        <w:ind w:left="0"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762"/>
          <w:rFonts w:ascii="宋体" w:hAnsi="宋体" w:eastAsia="宋体" w:cs="宋体"/>
          <w:b w:val="0"/>
          <w:bCs w:val="0"/>
          <w:color w:val="000000"/>
          <w:sz w:val="24"/>
          <w:szCs w:val="24"/>
          <w:lang w:val="en-US" w:eastAsia="zh-CN" w:bidi="ar"/>
        </w:rPr>
        <w:t xml:space="preserve">实操培训（不少于20学时）</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无人机起降、悬停、航线飞行、自动返航；</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机库自动起降、充电、维护、远程操作；</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云台控制、图像回传、AI 识别、喊话、取证；</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异常处置：低电量、失联、大风、失控、迫降、应急返航。</w:t>
      </w:r>
      <w:r/>
    </w:p>
    <w:p>
      <w:pPr>
        <w:ind w:left="0"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762"/>
          <w:rFonts w:ascii="宋体" w:hAnsi="宋体" w:eastAsia="宋体" w:cs="宋体"/>
          <w:b w:val="0"/>
          <w:bCs w:val="0"/>
          <w:color w:val="000000"/>
          <w:sz w:val="24"/>
          <w:szCs w:val="24"/>
          <w:lang w:val="en-US" w:eastAsia="zh-CN" w:bidi="ar"/>
        </w:rPr>
        <w:t xml:space="preserve">平台操作培训（不少于8学时）</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平台登录、权限、设备管理、航线管理；</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实时监控、视频回传、AI 事件处置、轨迹回放；</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数据导出、统计、报表、平台维护。</w:t>
      </w:r>
      <w:r/>
    </w:p>
    <w:p>
      <w:pPr>
        <w:ind w:left="0"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762"/>
          <w:rFonts w:ascii="宋体" w:hAnsi="宋体" w:eastAsia="宋体" w:cs="宋体"/>
          <w:b w:val="0"/>
          <w:bCs w:val="0"/>
          <w:color w:val="000000"/>
          <w:sz w:val="24"/>
          <w:szCs w:val="24"/>
          <w:lang w:val="en-US" w:eastAsia="zh-CN" w:bidi="ar"/>
        </w:rPr>
        <w:t xml:space="preserve">持证要求</w:t>
      </w:r>
      <w:r/>
    </w:p>
    <w:p>
      <w:pPr>
        <w:numPr>
          <w:ilvl w:val="0"/>
          <w:numId w:val="0"/>
        </w:numPr>
        <w:ind w:right="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rPr>
        <w:t xml:space="preserve">中标人须为采购人提供免费、专业、系统的无人机操作及安全培训，确保培训后不少于6名参训人员取得国家认可、合法有效的无人机相关职业技能证书/驾驶员合格证书，培训及取证费用均包含在投标报价中，采购人不另行支付任何费用。</w:t>
      </w:r>
      <w:r/>
    </w:p>
    <w:p>
      <w:pPr>
        <w:pStyle w:val="734"/>
        <w:ind w:left="0" w:right="0"/>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w:t>
      </w:r>
      <w:r>
        <w:rPr>
          <w:rFonts w:hint="eastAsia" w:eastAsia="宋体"/>
          <w:color w:val="000000"/>
          <w:sz w:val="24"/>
          <w:szCs w:val="24"/>
          <w:lang w:val="en-US" w:eastAsia="zh-CN"/>
        </w:rPr>
        <w:t xml:space="preserve">三</w:t>
      </w:r>
      <w:r>
        <w:rPr>
          <w:color w:val="000000"/>
          <w:sz w:val="24"/>
          <w:szCs w:val="24"/>
        </w:rPr>
        <w:t xml:space="preserve">）中心平台与运维培训</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服务器、存储、交换机、网络架构原理；</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平台安装、配置、权限、备份、恢复；</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系统监控、告警、日志、性能调优；</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日常巡检、数据备份、故障排查、应急恢复；</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与公安平台对接、数据同步、接口维护；</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病毒防护、漏洞修复、安全加固、等保配合。</w:t>
      </w:r>
      <w:r/>
    </w:p>
    <w:p>
      <w:pPr>
        <w:pStyle w:val="734"/>
        <w:ind w:left="0" w:right="0"/>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w:t>
      </w:r>
      <w:r>
        <w:rPr>
          <w:rFonts w:hint="eastAsia" w:eastAsia="宋体"/>
          <w:color w:val="000000"/>
          <w:sz w:val="24"/>
          <w:szCs w:val="24"/>
          <w:lang w:val="en-US" w:eastAsia="zh-CN"/>
        </w:rPr>
        <w:t xml:space="preserve">四</w:t>
      </w:r>
      <w:r>
        <w:rPr>
          <w:color w:val="000000"/>
          <w:sz w:val="24"/>
          <w:szCs w:val="24"/>
        </w:rPr>
        <w:t xml:space="preserve">）综合应急处置培训</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大面积设备离线、网络中断、系统崩溃处置流程；</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雷击、断电、高温、暴雨等极端天气处置；</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数据泄露、网络攻击、安全事件处置；</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重大</w:t>
      </w:r>
      <w:r>
        <w:rPr>
          <w:b w:val="0"/>
          <w:bCs w:val="0"/>
          <w:color w:val="000000"/>
          <w:sz w:val="24"/>
          <w:szCs w:val="24"/>
        </w:rPr>
        <w:t xml:space="preserve">活动保障、快速排故、备用设备启用流程。</w:t>
      </w:r>
      <w:r/>
    </w:p>
    <w:p>
      <w:pPr>
        <w:pStyle w:val="733"/>
        <w:ind w:left="0" w:right="0"/>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val="0"/>
          <w:bCs w:val="0"/>
          <w:color w:val="000000"/>
          <w:sz w:val="24"/>
          <w:szCs w:val="24"/>
          <w:lang w:eastAsia="zh-CN"/>
        </w:rPr>
        <w:t xml:space="preserve">（</w:t>
      </w:r>
      <w:r>
        <w:rPr>
          <w:rFonts w:hint="eastAsia" w:eastAsia="宋体"/>
          <w:b w:val="0"/>
          <w:bCs w:val="0"/>
          <w:color w:val="000000"/>
          <w:sz w:val="24"/>
          <w:szCs w:val="24"/>
          <w:lang w:val="en-US" w:eastAsia="zh-CN"/>
        </w:rPr>
        <w:t xml:space="preserve">五</w:t>
      </w:r>
      <w:r>
        <w:rPr>
          <w:rFonts w:hint="eastAsia" w:eastAsia="宋体"/>
          <w:b w:val="0"/>
          <w:bCs w:val="0"/>
          <w:color w:val="000000"/>
          <w:sz w:val="24"/>
          <w:szCs w:val="24"/>
          <w:lang w:eastAsia="zh-CN"/>
        </w:rPr>
        <w:t xml:space="preserve">）</w:t>
      </w:r>
      <w:r>
        <w:rPr>
          <w:b w:val="0"/>
          <w:bCs w:val="0"/>
          <w:color w:val="000000"/>
          <w:sz w:val="24"/>
          <w:szCs w:val="24"/>
        </w:rPr>
        <w:t xml:space="preserve">培训资料要求</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提供</w:t>
      </w:r>
      <w:r>
        <w:rPr>
          <w:rStyle w:val="762"/>
          <w:b w:val="0"/>
          <w:bCs w:val="0"/>
          <w:color w:val="000000"/>
          <w:sz w:val="24"/>
          <w:szCs w:val="24"/>
        </w:rPr>
        <w:t xml:space="preserve">全套纸质 + 电子版培训教材、操作手册、维护手册、故障手册、视频教程</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资料需详细、图文并茂、通俗易懂、可直接用于日常运维；</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所有资料加盖中标人公章，</w:t>
      </w:r>
      <w:r>
        <w:rPr>
          <w:rStyle w:val="762"/>
          <w:b w:val="0"/>
          <w:bCs w:val="0"/>
          <w:color w:val="000000"/>
          <w:sz w:val="24"/>
          <w:szCs w:val="24"/>
        </w:rPr>
        <w:t xml:space="preserve">验收时一并归档</w:t>
      </w:r>
      <w:r>
        <w:rPr>
          <w:b w:val="0"/>
          <w:bCs w:val="0"/>
          <w:color w:val="000000"/>
          <w:sz w:val="24"/>
          <w:szCs w:val="24"/>
        </w:rPr>
        <w:t xml:space="preserve">。</w:t>
      </w:r>
      <w:r/>
    </w:p>
    <w:p>
      <w:pPr>
        <w:pStyle w:val="733"/>
        <w:ind w:left="0" w:right="0"/>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val="0"/>
          <w:bCs w:val="0"/>
          <w:color w:val="000000"/>
          <w:sz w:val="24"/>
          <w:szCs w:val="24"/>
          <w:lang w:eastAsia="zh-CN"/>
        </w:rPr>
        <w:t xml:space="preserve">（</w:t>
      </w:r>
      <w:r>
        <w:rPr>
          <w:rFonts w:hint="eastAsia" w:eastAsia="宋体"/>
          <w:b w:val="0"/>
          <w:bCs w:val="0"/>
          <w:color w:val="000000"/>
          <w:sz w:val="24"/>
          <w:szCs w:val="24"/>
          <w:lang w:val="en-US" w:eastAsia="zh-CN"/>
        </w:rPr>
        <w:t xml:space="preserve">六</w:t>
      </w:r>
      <w:r>
        <w:rPr>
          <w:rFonts w:hint="eastAsia" w:eastAsia="宋体"/>
          <w:b w:val="0"/>
          <w:bCs w:val="0"/>
          <w:color w:val="000000"/>
          <w:sz w:val="24"/>
          <w:szCs w:val="24"/>
          <w:lang w:eastAsia="zh-CN"/>
        </w:rPr>
        <w:t xml:space="preserve">）</w:t>
      </w:r>
      <w:r>
        <w:rPr>
          <w:b w:val="0"/>
          <w:bCs w:val="0"/>
          <w:color w:val="000000"/>
          <w:sz w:val="24"/>
          <w:szCs w:val="24"/>
        </w:rPr>
        <w:t xml:space="preserve">培训责任</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培训不合格人员，中标人需</w:t>
      </w:r>
      <w:r>
        <w:rPr>
          <w:rStyle w:val="762"/>
          <w:b w:val="0"/>
          <w:bCs w:val="0"/>
          <w:color w:val="000000"/>
          <w:sz w:val="24"/>
          <w:szCs w:val="24"/>
        </w:rPr>
        <w:t xml:space="preserve">免费重训，直至合格</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培训期间发生安全事故，由中标人承担全部责任；</w:t>
      </w:r>
      <w:r/>
    </w:p>
    <w:p>
      <w:pPr>
        <w:numPr>
          <w:ilvl w:val="0"/>
          <w:numId w:val="0"/>
        </w:numPr>
        <w:ind w:left="-360" w:right="0" w:firstLine="480"/>
        <w:jc w:val="left"/>
        <w:keepLines w:val="0"/>
        <w:keepNext w:val="0"/>
        <w:spacing w:before="0" w:beforeAutospacing="0" w:after="0" w:afterAutospacing="0" w:line="360" w:lineRule="atLeast"/>
        <w:widowControl/>
        <w:rPr>
          <w:rFonts w:hint="eastAsia" w:ascii="Arial" w:hAnsi="Arial" w:eastAsia="Arial" w:cs="Arial"/>
          <w:b w:val="0"/>
          <w:bCs w:val="0"/>
          <w:highlight w:val="none"/>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培训效果纳入验收，</w:t>
      </w:r>
      <w:r>
        <w:rPr>
          <w:rStyle w:val="762"/>
          <w:b w:val="0"/>
          <w:bCs w:val="0"/>
          <w:color w:val="000000"/>
          <w:sz w:val="24"/>
          <w:szCs w:val="24"/>
        </w:rPr>
        <w:t xml:space="preserve">培训不合格不予验收、不予付款</w:t>
      </w:r>
      <w:r>
        <w:rPr>
          <w:b w:val="0"/>
          <w:bCs w:val="0"/>
          <w:color w:val="000000"/>
          <w:sz w:val="24"/>
          <w:szCs w:val="24"/>
        </w:rPr>
        <w:t xml:space="preserve">。</w:t>
      </w:r>
      <w:r/>
    </w:p>
    <w:p>
      <w:pPr>
        <w:pStyle w:val="733"/>
        <w:ind w:left="0" w:right="0"/>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十三、</w:t>
      </w:r>
      <w:r>
        <w:rPr>
          <w:b/>
          <w:bCs/>
          <w:color w:val="000000"/>
          <w:sz w:val="24"/>
          <w:szCs w:val="24"/>
        </w:rPr>
        <w:t xml:space="preserve">验收标准及要求</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762"/>
          <w:rFonts w:hint="eastAsia"/>
          <w:b w:val="0"/>
          <w:bCs w:val="0"/>
          <w:color w:val="000000"/>
          <w:sz w:val="24"/>
          <w:szCs w:val="24"/>
          <w:lang w:val="en-US" w:eastAsia="zh-CN"/>
        </w:rPr>
        <w:t xml:space="preserve">1、</w:t>
      </w:r>
      <w:r>
        <w:rPr>
          <w:rStyle w:val="762"/>
          <w:b w:val="0"/>
          <w:bCs w:val="0"/>
          <w:color w:val="000000"/>
          <w:sz w:val="24"/>
          <w:szCs w:val="24"/>
        </w:rPr>
        <w:t xml:space="preserve">总体验收要求</w:t>
      </w:r>
      <w:r>
        <w:rPr>
          <w:b w:val="0"/>
          <w:bCs w:val="0"/>
          <w:color w:val="000000"/>
          <w:sz w:val="24"/>
          <w:szCs w:val="24"/>
        </w:rPr>
        <w:t xml:space="preserve">：本项目验收严格按照国家、行业现行规范、招标文件技术参数、投标承诺及施工图纸执行，</w:t>
      </w:r>
      <w:r>
        <w:rPr>
          <w:rStyle w:val="762"/>
          <w:b w:val="0"/>
          <w:bCs w:val="0"/>
          <w:color w:val="000000"/>
          <w:sz w:val="24"/>
          <w:szCs w:val="24"/>
        </w:rPr>
        <w:t xml:space="preserve">验收不合格不予支付尾款</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762"/>
          <w:rFonts w:hint="eastAsia"/>
          <w:b w:val="0"/>
          <w:bCs w:val="0"/>
          <w:color w:val="000000"/>
          <w:sz w:val="24"/>
          <w:szCs w:val="24"/>
          <w:lang w:val="en-US" w:eastAsia="zh-CN"/>
        </w:rPr>
        <w:t xml:space="preserve">2、</w:t>
      </w:r>
      <w:r>
        <w:rPr>
          <w:rStyle w:val="762"/>
          <w:b w:val="0"/>
          <w:bCs w:val="0"/>
          <w:color w:val="000000"/>
          <w:sz w:val="24"/>
          <w:szCs w:val="24"/>
        </w:rPr>
        <w:t xml:space="preserve">验收流程</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施工单位自检→监理预验收→采购人组织正式验收；</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正式验收</w:t>
      </w:r>
      <w:r>
        <w:rPr>
          <w:b w:val="0"/>
          <w:bCs w:val="0"/>
          <w:color w:val="000000"/>
          <w:sz w:val="24"/>
          <w:szCs w:val="24"/>
        </w:rPr>
        <w:t xml:space="preserve">需提供：</w:t>
      </w:r>
      <w:r>
        <w:rPr>
          <w:rStyle w:val="762"/>
          <w:b w:val="0"/>
          <w:bCs w:val="0"/>
          <w:color w:val="000000"/>
          <w:sz w:val="24"/>
          <w:szCs w:val="24"/>
        </w:rPr>
        <w:t xml:space="preserve">竣工报告、检测报告、合格证、培训记录、竣工图</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rFonts w:hint="eastAsia" w:ascii="Arial" w:hAnsi="Arial" w:cs="Arial"/>
          <w:b/>
          <w:bCs/>
          <w:color w:val="000000"/>
          <w:highlight w:val="none"/>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验收不合格，施工单位7日内整改，整改后仍不合格，采购人有权</w:t>
      </w:r>
      <w:r>
        <w:rPr>
          <w:rStyle w:val="762"/>
          <w:b w:val="0"/>
          <w:bCs w:val="0"/>
          <w:color w:val="000000"/>
          <w:sz w:val="24"/>
          <w:szCs w:val="24"/>
        </w:rPr>
        <w:t xml:space="preserve">终止合同、没收履约保证金、扣除全部尾款</w:t>
      </w:r>
      <w:r>
        <w:rPr>
          <w:b w:val="0"/>
          <w:bCs w:val="0"/>
          <w:color w:val="000000"/>
          <w:sz w:val="24"/>
          <w:szCs w:val="24"/>
        </w:rPr>
        <w:t xml:space="preserve">。</w:t>
      </w:r>
      <w:r/>
    </w:p>
    <w:p>
      <w:pPr>
        <w:pStyle w:val="942"/>
        <w:jc w:val="both"/>
        <w:spacing w:beforeAutospacing="0" w:afterAutospacing="0" w:line="400" w:lineRule="exact"/>
        <w:rPr>
          <w:rFonts w:ascii="Arial" w:hAnsi="Arial" w:eastAsia="Arial" w:cs="Arial"/>
          <w:b/>
          <w:bCs/>
          <w:color w:val="000000"/>
          <w:highlight w:val="none"/>
        </w:rPr>
      </w:pPr>
      <w:r>
        <w:rPr>
          <w:rFonts w:hint="eastAsia" w:ascii="Arial" w:hAnsi="Arial" w:cs="Arial"/>
          <w:b/>
          <w:bCs/>
          <w:color w:val="000000"/>
          <w:highlight w:val="none"/>
        </w:rPr>
        <w:t xml:space="preserve">十</w:t>
      </w:r>
      <w:r>
        <w:rPr>
          <w:rFonts w:hint="eastAsia" w:ascii="Arial" w:hAnsi="Arial" w:cs="Arial"/>
          <w:b/>
          <w:bCs/>
          <w:color w:val="000000"/>
          <w:highlight w:val="none"/>
          <w:lang w:val="en-US" w:eastAsia="zh-CN"/>
        </w:rPr>
        <w:t xml:space="preserve">四</w:t>
      </w:r>
      <w:r>
        <w:rPr>
          <w:rFonts w:hint="eastAsia" w:ascii="Arial" w:hAnsi="Arial" w:eastAsia="Arial" w:cs="Arial"/>
          <w:b/>
          <w:bCs/>
          <w:color w:val="000000"/>
          <w:highlight w:val="none"/>
        </w:rPr>
        <w:t xml:space="preserve">、采购标的对应的中小企业划分标准所属行业一览表</w:t>
      </w:r>
      <w:r/>
    </w:p>
    <w:tbl>
      <w:tblPr>
        <w:tblStyle w:val="742"/>
        <w:tblW w:w="86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04"/>
        <w:gridCol w:w="3241"/>
        <w:gridCol w:w="4094"/>
      </w:tblGrid>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942"/>
              <w:jc w:val="center"/>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41" w:type="dxa"/>
            <w:vAlign w:val="center"/>
            <w:textDirection w:val="lrTb"/>
            <w:noWrap w:val="false"/>
          </w:tcPr>
          <w:p>
            <w:pPr>
              <w:pStyle w:val="942"/>
              <w:ind w:firstLine="787"/>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942"/>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对应中小企业划分标准所属行业</w:t>
            </w:r>
            <w:r/>
          </w:p>
        </w:tc>
      </w:tr>
      <w:tr>
        <w:trPr>
          <w:jc w:val="center"/>
          <w:tblCellSpacing w:w="0" w:type="dxa"/>
          <w:trHeight w:val="322"/>
        </w:trPr>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929"/>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3241" w:type="dxa"/>
            <w:vAlign w:val="center"/>
            <w:textDirection w:val="lrTb"/>
            <w:noWrap w:val="false"/>
          </w:tcPr>
          <w:p>
            <w:pPr>
              <w:pStyle w:val="929"/>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rPr>
              <w:t xml:space="preserve">滨海县公安局道路交通安全提升项目 </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929"/>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rPr>
              <w:t xml:space="preserve">工业（其中传输线路服务费为服务业）</w:t>
            </w:r>
            <w:r/>
          </w:p>
        </w:tc>
      </w:tr>
    </w:tbl>
    <w:p>
      <w:pPr>
        <w:pStyle w:val="942"/>
        <w:ind w:firstLine="480"/>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（备注：1.采购人须填报上表，所属行业按《工业和信息化部、国家统计局、国家发展和改革委员会、财政部关于印发中小企业划型标准规定的通知》(工信部联企业〔2011〕300号)规定填写。</w:t>
      </w:r>
      <w:r/>
    </w:p>
    <w:p>
      <w:pPr>
        <w:pStyle w:val="929"/>
        <w:ind w:firstLine="480"/>
        <w:jc w:val="both"/>
        <w:spacing w:beforeAutospacing="0" w:afterAutospacing="0" w:line="0" w:lineRule="atLeast"/>
        <w:rPr>
          <w:rFonts w:hint="eastAsia" w:ascii="宋体" w:hAnsi="宋体" w:cs="宋体"/>
          <w:highlight w:val="none"/>
        </w:rPr>
      </w:pPr>
      <w:r>
        <w:rPr>
          <w:rFonts w:hint="eastAsia" w:ascii="宋体" w:hAnsi="宋体" w:cs="宋体"/>
          <w:highlight w:val="none"/>
        </w:rPr>
        <w:t xml:space="preserve"> </w:t>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t xml:space="preserve"> </w:t>
      </w:r>
      <w:bookmarkStart w:id="177" w:name="_Toc120614281"/>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r>
      <w:r/>
    </w:p>
    <w:p>
      <w:pPr>
        <w:jc w:val="center"/>
        <w:rPr>
          <w:rFonts w:hint="eastAsia" w:ascii="黑体" w:hAnsi="宋体" w:eastAsia="黑体" w:cs="黑体"/>
          <w:b/>
          <w:bCs/>
          <w:sz w:val="44"/>
          <w:szCs w:val="44"/>
          <w:highlight w:val="none"/>
        </w:rPr>
      </w:pP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评标方法与评标标准</w:t>
      </w:r>
      <w:r/>
    </w:p>
    <w:p>
      <w:pPr>
        <w:pStyle w:val="929"/>
        <w:jc w:val="both"/>
        <w:spacing w:beforeAutospacing="0" w:afterAutospacing="0"/>
        <w:rPr>
          <w:highlight w:val="none"/>
        </w:rPr>
      </w:pPr>
      <w:r>
        <w:rPr>
          <w:highlight w:val="none"/>
        </w:rPr>
        <w:t xml:space="preserve">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一、定标原则</w:t>
      </w:r>
      <w:r/>
    </w:p>
    <w:p>
      <w:pPr>
        <w:pStyle w:val="929"/>
        <w:ind w:firstLine="441"/>
        <w:spacing w:before="120" w:beforeAutospacing="0" w:after="120" w:afterAutospacing="0"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29"/>
        <w:ind w:firstLine="441"/>
        <w:spacing w:before="120" w:beforeAutospacing="0" w:after="120" w:afterAutospacing="0" w:line="360" w:lineRule="auto"/>
        <w:rPr>
          <w:rFonts w:hint="eastAsia" w:ascii="宋体" w:hAnsi="宋体" w:cs="宋体"/>
          <w:highlight w:val="none"/>
        </w:rPr>
      </w:pPr>
      <w:r>
        <w:rPr>
          <w:rFonts w:hint="eastAsia" w:ascii="宋体" w:hAnsi="宋体" w:cs="宋体"/>
          <w:b/>
          <w:highlight w:val="none"/>
        </w:rPr>
        <w:t xml:space="preserve">政府采购政策功能落实</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1、小微型企业价格扣除</w:t>
      </w:r>
      <w:r/>
    </w:p>
    <w:p>
      <w:pPr>
        <w:pStyle w:val="939"/>
        <w:ind w:firstLine="360"/>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（1）本项目不专门面向中小企业采购，对符合规定的小型和微型企业报价给予20%的扣除价格，用扣除后的价格参与评审。</w:t>
      </w:r>
      <w:r/>
    </w:p>
    <w:p>
      <w:pPr>
        <w:pStyle w:val="929"/>
        <w:ind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（2）供应商需按照采购文件的要求提供相应的《中小企业声明函》。</w:t>
      </w:r>
      <w:r/>
    </w:p>
    <w:p>
      <w:pPr>
        <w:pStyle w:val="929"/>
        <w:ind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（3）企业标准请参照《关于印发中小企业划型标准规定的通知》（工信部联企业〔2011〕300号）文件规定自行填写。</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2、残疾人福利单位价格扣除</w:t>
      </w:r>
      <w:r/>
    </w:p>
    <w:p>
      <w:pPr>
        <w:pStyle w:val="929"/>
        <w:ind w:left="120" w:firstLine="36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（1）本项目对残疾人福利性单位视同小型、微型企业，给予</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pStyle w:val="929"/>
        <w:ind w:left="120"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（2）残疾人福利单位需按照采购文件的要求提供《残疾人福利性单位声明函》。</w:t>
      </w:r>
      <w:r/>
    </w:p>
    <w:p>
      <w:pPr>
        <w:pStyle w:val="929"/>
        <w:ind w:left="120"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（3）残疾人福利单位标准请参照《关于促进残疾人就业政府采购政策的通知》（财库〔2017〕141号）。</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3、监狱和戒毒企业价格扣除</w:t>
      </w:r>
      <w:r/>
    </w:p>
    <w:p>
      <w:pPr>
        <w:pStyle w:val="929"/>
        <w:ind w:firstLine="48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（1）本项目对监狱和戒毒企业（简称监狱企业）视同小型、微型企业，给予</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（3）监狱企业标准请参照《关于政府采购支持监狱企业发展有关问题的通知》（财库〔2014〕68号）。</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4、残疾人福利单位、监狱企业属于小型、微型企业的，不重复享受政策。</w:t>
      </w:r>
      <w:r/>
    </w:p>
    <w:p>
      <w:pPr>
        <w:pStyle w:val="929"/>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highlight w:val="none"/>
          <w:u w:val="single"/>
        </w:rPr>
        <w:t xml:space="preserve">6%</w:t>
      </w:r>
      <w:r>
        <w:rPr>
          <w:rFonts w:hint="eastAsia" w:ascii="宋体" w:hAnsi="宋体" w:cs="宋体"/>
          <w:highlight w:val="none"/>
        </w:rPr>
        <w:t xml:space="preserve">的价格扣除，用扣除后的价格参与评审。</w:t>
      </w:r>
      <w:r/>
    </w:p>
    <w:p>
      <w:pPr>
        <w:pStyle w:val="929"/>
        <w:ind w:firstLine="48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6、联合体各方均为小型、微型企业（残疾人福利单位、监狱企业）的，联合体享受</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ind w:firstLine="480"/>
        <w:rPr>
          <w:rFonts w:hint="eastAsia" w:ascii="宋体" w:hAnsi="宋体" w:cs="宋体"/>
          <w:sz w:val="24"/>
          <w:highlight w:val="none"/>
        </w:rPr>
      </w:pPr>
      <w:r>
        <w:rPr>
          <w:rFonts w:hint="eastAsia" w:ascii="宋体" w:hAnsi="宋体" w:cs="宋体"/>
          <w:sz w:val="24"/>
          <w:highlight w:val="none"/>
        </w:rPr>
        <w:t xml:space="preserve">7、采购本国产品的支持政策</w:t>
      </w:r>
      <w:r/>
    </w:p>
    <w:p>
      <w:pPr>
        <w:ind w:firstLine="480"/>
        <w:rPr>
          <w:rFonts w:hint="eastAsia" w:ascii="宋体" w:hAnsi="宋体" w:cs="宋体"/>
          <w:sz w:val="24"/>
          <w:highlight w:val="none"/>
        </w:rPr>
      </w:pPr>
      <w:r>
        <w:rPr>
          <w:rFonts w:hint="eastAsia" w:ascii="宋体" w:hAnsi="宋体" w:cs="宋体"/>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highlight w:val="none"/>
        </w:rPr>
      </w:pPr>
      <w:r>
        <w:rPr>
          <w:rFonts w:hint="eastAsia" w:ascii="宋体" w:hAnsi="宋体" w:cs="宋体"/>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b/>
          <w:highlight w:val="none"/>
        </w:rPr>
      </w:pPr>
      <w:r>
        <w:rPr>
          <w:rFonts w:hint="eastAsia" w:ascii="宋体" w:hAnsi="宋体" w:cs="宋体"/>
          <w:sz w:val="24"/>
          <w:highlight w:val="non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pStyle w:val="929"/>
        <w:jc w:val="both"/>
        <w:spacing w:before="120" w:beforeAutospacing="0" w:after="120" w:afterAutospacing="0" w:line="0" w:lineRule="atLeast"/>
        <w:rPr>
          <w:rFonts w:hint="eastAsia" w:ascii="宋体" w:hAnsi="宋体" w:cs="宋体"/>
          <w:highlight w:val="none"/>
        </w:rPr>
      </w:pPr>
      <w:r>
        <w:rPr>
          <w:rFonts w:hint="eastAsia" w:ascii="宋体" w:hAnsi="宋体" w:cs="宋体"/>
          <w:b/>
          <w:highlight w:val="none"/>
        </w:rPr>
        <w:t xml:space="preserve">二、评标方法与评标标准</w:t>
      </w:r>
      <w:r/>
    </w:p>
    <w:tbl>
      <w:tblPr>
        <w:tblStyle w:val="742"/>
        <w:tblW w:w="9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208"/>
        <w:gridCol w:w="1236"/>
        <w:gridCol w:w="6650"/>
      </w:tblGrid>
      <w:tr>
        <w:trPr>
          <w:jc w:val="center"/>
          <w:trHeight w:val="456"/>
        </w:trPr>
        <w:tc>
          <w:tcPr>
            <w:tcW w:w="651"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W w:w="1208"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条款</w:t>
            </w:r>
            <w:r/>
          </w:p>
        </w:tc>
        <w:tc>
          <w:tcPr>
            <w:tcW w:w="1236"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评审因素</w:t>
            </w:r>
            <w:r/>
          </w:p>
        </w:tc>
        <w:tc>
          <w:tcPr>
            <w:tcW w:w="6650"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评审标准</w:t>
            </w:r>
            <w:r/>
          </w:p>
        </w:tc>
      </w:tr>
      <w:tr>
        <w:trPr>
          <w:jc w:val="center"/>
          <w:trHeight w:val="396"/>
        </w:trPr>
        <w:tc>
          <w:tcPr>
            <w:tcW w:w="65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W w:w="1208"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投标报价</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总报价（30分）</w:t>
            </w:r>
            <w:r/>
          </w:p>
        </w:tc>
        <w:tc>
          <w:tcPr>
            <w:tcW w:w="6650" w:type="dxa"/>
            <w:vAlign w:val="center"/>
            <w:textDirection w:val="lrTb"/>
            <w:noWrap w:val="false"/>
          </w:tcPr>
          <w:p>
            <w:pP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1.有效投标报价：是指通过“投标文件初审”的投标人的经商务性评审（修正、小微企业扣除等）后的评标总价；</w:t>
            </w:r>
            <w:r/>
          </w:p>
          <w:p>
            <w:pP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2.评标基准价=有效投标报价中的最低投标报价；</w:t>
            </w:r>
            <w:r/>
          </w:p>
          <w:p>
            <w:pP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3.当投标人的评标总价等于评标基准价的得30分；</w:t>
            </w:r>
            <w:r/>
          </w:p>
          <w:p>
            <w:pP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lang w:bidi="ar"/>
              </w:rPr>
              <w:t xml:space="preserve">4.其他投标人的价格分按照下列公式计算：评标总价得分=（评标基准价/评标总价）*30分（计算结果保留2位小数，第三位四舍五入）。</w:t>
            </w:r>
            <w:r/>
          </w:p>
        </w:tc>
      </w:tr>
      <w:tr>
        <w:trPr>
          <w:jc w:val="center"/>
          <w:trHeight w:val="90"/>
        </w:trPr>
        <w:tc>
          <w:tcPr>
            <w:tcW w:w="651"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W w:w="1208"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技术部分</w:t>
            </w:r>
            <w:r/>
          </w:p>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（42分）</w:t>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技术参数响应（3</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w:t>
            </w:r>
            <w:r/>
          </w:p>
        </w:tc>
        <w:tc>
          <w:tcPr>
            <w:tcW w:w="6650" w:type="dxa"/>
            <w:vAlign w:val="center"/>
            <w:textDirection w:val="lrTb"/>
            <w:noWrap w:val="false"/>
          </w:tcPr>
          <w:p>
            <w:pPr>
              <w:jc w:val="left"/>
              <w:spacing w:line="288"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根据投标文件对招标文件“采购需求”中的技术指标响应程度进行评审，全部满足招标文件要求的全部技术指标得3</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分。加“▲”项每有一项负偏离扣</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分，非加“▲”项每有一项负偏离扣1分，直至扣完为止。</w:t>
            </w:r>
            <w:r/>
          </w:p>
          <w:p>
            <w:pPr>
              <w:jc w:val="left"/>
              <w:spacing w:line="288"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注：1、本项目招标文件第四章</w:t>
            </w:r>
            <w:r>
              <w:rPr>
                <w:rFonts w:hint="eastAsia" w:ascii="宋体" w:hAnsi="宋体" w:cs="宋体"/>
                <w:sz w:val="24"/>
                <w:szCs w:val="24"/>
                <w:highlight w:val="none"/>
                <w:lang w:val="en-US" w:eastAsia="zh-CN" w:bidi="ar"/>
              </w:rPr>
              <w:t xml:space="preserve">采购</w:t>
            </w:r>
            <w:r>
              <w:rPr>
                <w:rFonts w:hint="eastAsia" w:ascii="宋体" w:hAnsi="宋体" w:eastAsia="宋体" w:cs="宋体"/>
                <w:sz w:val="24"/>
                <w:szCs w:val="24"/>
                <w:highlight w:val="none"/>
                <w:lang w:bidi="ar"/>
              </w:rPr>
              <w:t xml:space="preserve">需求中技术参数条款，要求投标人投标时提供检测报告等相关证明材料扫描件的，投标人不提供或提供的证明材料不符合招标文件要求的，视为负偏离。</w:t>
            </w:r>
            <w:r/>
          </w:p>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2、《技术参数响应及偏离表》中的内容须是投标人投标产品的真实反映，投标人在投标时不得虚假响应和虚假承诺，否则将取消其投标资格；已中标的，将取消其中标资格。</w:t>
            </w:r>
            <w:r/>
          </w:p>
        </w:tc>
      </w:tr>
      <w:tr>
        <w:trPr>
          <w:jc w:val="center"/>
          <w:trHeight w:val="90"/>
        </w:trPr>
        <w:tc>
          <w:tcPr>
            <w:tcW w:w="651"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软件演示（</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分）</w:t>
            </w:r>
            <w:r/>
          </w:p>
        </w:tc>
        <w:tc>
          <w:tcPr>
            <w:tcW w:w="6650" w:type="dxa"/>
            <w:vAlign w:val="center"/>
            <w:textDirection w:val="lrTb"/>
            <w:noWrap w:val="false"/>
          </w:tcPr>
          <w:p>
            <w:pPr>
              <w:jc w:val="left"/>
              <w:spacing w:line="288"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投标人按照招标文件要求的无人机平台1-8项系统功能提供演示视频，每项功能演示完整且完全符合招标要求的得1分，演示不完整或未提供演示视频的不得分，</w:t>
            </w:r>
            <w:r>
              <w:rPr>
                <w:rFonts w:hint="eastAsia" w:ascii="宋体" w:hAnsi="宋体" w:eastAsia="宋体" w:cs="宋体"/>
                <w:sz w:val="24"/>
                <w:szCs w:val="24"/>
                <w:highlight w:val="none"/>
                <w:lang w:val="en-US" w:eastAsia="zh-CN" w:bidi="ar"/>
              </w:rPr>
              <w:t xml:space="preserve">本项</w:t>
            </w:r>
            <w:r>
              <w:rPr>
                <w:rFonts w:hint="eastAsia" w:ascii="宋体" w:hAnsi="宋体" w:eastAsia="宋体" w:cs="宋体"/>
                <w:sz w:val="24"/>
                <w:szCs w:val="24"/>
                <w:highlight w:val="none"/>
                <w:lang w:bidi="ar"/>
              </w:rPr>
              <w:t xml:space="preserve">最高得8分。</w:t>
            </w:r>
            <w:r/>
          </w:p>
        </w:tc>
      </w:tr>
      <w:tr>
        <w:trPr>
          <w:jc w:val="center"/>
          <w:trHeight w:val="1424"/>
        </w:trPr>
        <w:tc>
          <w:tcPr>
            <w:tcW w:w="651"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0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p>
        </w:tc>
        <w:tc>
          <w:tcPr>
            <w:tcW w:w="1236"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企业实力（</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w:t>
            </w:r>
            <w:r/>
          </w:p>
        </w:tc>
        <w:tc>
          <w:tcPr>
            <w:tcW w:w="6650" w:type="dxa"/>
            <w:vAlign w:val="center"/>
            <w:textDirection w:val="lrTb"/>
            <w:noWrap w:val="false"/>
          </w:tcPr>
          <w:p>
            <w:pPr>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1.投标人具有有效期内的第三方机构认证的环境管理体系认证证书（ISO14001）、职业健康安全管理体系认证证书（ISO45001）、质量管理体系认证证书（ISO9001）、信息安全管理体系认证证书(IS027001)、每提供1项得</w:t>
            </w:r>
            <w:r>
              <w:rPr>
                <w:rFonts w:hint="eastAsia" w:ascii="宋体" w:hAnsi="宋体" w:eastAsia="宋体" w:cs="宋体"/>
                <w:sz w:val="24"/>
                <w:szCs w:val="24"/>
                <w:highlight w:val="none"/>
                <w:lang w:val="en-US" w:eastAsia="zh-CN" w:bidi="ar"/>
              </w:rPr>
              <w:t xml:space="preserve">0.5</w:t>
            </w:r>
            <w:r>
              <w:rPr>
                <w:rFonts w:hint="eastAsia" w:ascii="宋体" w:hAnsi="宋体" w:eastAsia="宋体" w:cs="宋体"/>
                <w:sz w:val="24"/>
                <w:szCs w:val="24"/>
                <w:highlight w:val="none"/>
                <w:lang w:bidi="ar"/>
              </w:rPr>
              <w:t xml:space="preserve">分，本项最高得</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 。</w:t>
            </w:r>
            <w:r/>
          </w:p>
          <w:p>
            <w:pPr>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b/>
                <w:bCs/>
                <w:sz w:val="24"/>
                <w:szCs w:val="24"/>
                <w:highlight w:val="none"/>
                <w:lang w:bidi="ar"/>
              </w:rPr>
              <w:t xml:space="preserve">注：投标时须提供证书扫描件，且证书必须在有效期范围内，未提供不得分。</w:t>
            </w:r>
            <w:r/>
          </w:p>
        </w:tc>
      </w:tr>
      <w:tr>
        <w:trPr>
          <w:jc w:val="center"/>
          <w:trHeight w:val="1424"/>
        </w:trPr>
        <w:tc>
          <w:tcPr>
            <w:tcW w:w="65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08"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650" w:type="dxa"/>
            <w:vAlign w:val="center"/>
            <w:textDirection w:val="lrTb"/>
            <w:noWrap w:val="false"/>
          </w:tcPr>
          <w:p>
            <w:pPr>
              <w:jc w:val="left"/>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sz w:val="24"/>
                <w:szCs w:val="24"/>
                <w:lang w:val="en-US" w:eastAsia="zh-CN"/>
              </w:rPr>
              <w:t xml:space="preserve">投标人</w:t>
            </w:r>
            <w:r>
              <w:rPr>
                <w:rFonts w:hint="eastAsia" w:ascii="宋体" w:hAnsi="宋体" w:eastAsia="宋体" w:cs="宋体"/>
                <w:b w:val="0"/>
                <w:bCs w:val="0"/>
                <w:sz w:val="24"/>
                <w:szCs w:val="24"/>
              </w:rPr>
              <w:t xml:space="preserve">具备</w:t>
            </w:r>
            <w:r>
              <w:rPr>
                <w:rStyle w:val="762"/>
                <w:rFonts w:hint="eastAsia" w:ascii="宋体" w:hAnsi="宋体" w:eastAsia="宋体" w:cs="宋体"/>
                <w:b w:val="0"/>
                <w:bCs w:val="0"/>
                <w:color w:val="000000"/>
                <w:sz w:val="24"/>
                <w:szCs w:val="24"/>
              </w:rPr>
              <w:t xml:space="preserve">民航局及民航地区管理局颁发的有效《民用无人驾驶航空器运营合格证》</w:t>
            </w:r>
            <w:r>
              <w:rPr>
                <w:rFonts w:hint="eastAsia" w:ascii="宋体" w:hAnsi="宋体" w:eastAsia="宋体" w:cs="宋体"/>
                <w:b w:val="0"/>
                <w:bCs w:val="0"/>
                <w:sz w:val="24"/>
                <w:szCs w:val="24"/>
              </w:rPr>
              <w:t xml:space="preserve">的</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得</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b/>
                <w:bCs/>
                <w:sz w:val="24"/>
                <w:szCs w:val="24"/>
                <w:lang w:val="en-US" w:eastAsia="zh-CN"/>
              </w:rPr>
              <w:t xml:space="preserve">投标时</w:t>
            </w:r>
            <w:r>
              <w:rPr>
                <w:rFonts w:hint="eastAsia" w:ascii="宋体" w:hAnsi="宋体" w:eastAsia="宋体" w:cs="宋体"/>
                <w:b/>
                <w:bCs/>
                <w:sz w:val="24"/>
                <w:szCs w:val="24"/>
              </w:rPr>
              <w:t xml:space="preserve">提供证书扫描件，证书在有效期内且经营范围覆盖本项目作业内容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未提供不得分</w:t>
            </w:r>
            <w:r>
              <w:rPr>
                <w:rFonts w:hint="eastAsia" w:ascii="宋体" w:hAnsi="宋体" w:eastAsia="宋体" w:cs="宋体"/>
                <w:b/>
                <w:bCs/>
                <w:sz w:val="24"/>
                <w:szCs w:val="24"/>
              </w:rPr>
              <w:t xml:space="preserve">。</w:t>
            </w:r>
            <w:r/>
          </w:p>
        </w:tc>
      </w:tr>
      <w:tr>
        <w:trPr>
          <w:jc w:val="center"/>
          <w:trHeight w:val="846"/>
        </w:trPr>
        <w:tc>
          <w:tcPr>
            <w:tcW w:w="651"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团队实力（5分）</w:t>
            </w:r>
            <w:r/>
          </w:p>
        </w:tc>
        <w:tc>
          <w:tcPr>
            <w:tcW w:w="6650" w:type="dxa"/>
            <w:vAlign w:val="center"/>
            <w:textDirection w:val="lrTb"/>
            <w:noWrap w:val="false"/>
          </w:tcPr>
          <w:p>
            <w:pPr>
              <w:jc w:val="left"/>
              <w:spacing w:line="312"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1.本项目项目经理取得以下任意一种资格的：</w:t>
            </w:r>
            <w:r>
              <w:rPr>
                <w:rFonts w:hint="eastAsia" w:ascii="宋体" w:hAnsi="宋体" w:eastAsia="宋体" w:cs="宋体"/>
                <w:sz w:val="24"/>
                <w:szCs w:val="24"/>
                <w:highlight w:val="none"/>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eastAsia="宋体" w:cs="宋体"/>
                <w:sz w:val="24"/>
                <w:szCs w:val="24"/>
                <w:highlight w:val="none"/>
                <w:lang w:bidi="ar"/>
              </w:rPr>
              <w:t xml:space="preserve">，每提供1</w:t>
            </w:r>
            <w:r>
              <w:rPr>
                <w:rFonts w:hint="eastAsia" w:ascii="宋体" w:hAnsi="宋体" w:eastAsia="宋体" w:cs="宋体"/>
                <w:sz w:val="24"/>
                <w:szCs w:val="24"/>
                <w:highlight w:val="none"/>
                <w:lang w:val="en-US" w:eastAsia="zh-CN" w:bidi="ar"/>
              </w:rPr>
              <w:t xml:space="preserve">项</w:t>
            </w:r>
            <w:r>
              <w:rPr>
                <w:rFonts w:hint="eastAsia" w:ascii="宋体" w:hAnsi="宋体" w:eastAsia="宋体" w:cs="宋体"/>
                <w:sz w:val="24"/>
                <w:szCs w:val="24"/>
                <w:highlight w:val="none"/>
                <w:lang w:bidi="ar"/>
              </w:rPr>
              <w:t xml:space="preserve">证书得0.5分，本项最高得1.5分，未提供不得分。</w:t>
            </w:r>
            <w:r/>
          </w:p>
          <w:p>
            <w:pPr>
              <w:jc w:val="left"/>
              <w:spacing w:line="312"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2.本项目项目技术负责人（与项目经理非同一人）取得以下任意一种资格的：</w:t>
            </w:r>
            <w:r>
              <w:rPr>
                <w:rFonts w:hint="eastAsia" w:ascii="宋体" w:hAnsi="宋体" w:eastAsia="宋体" w:cs="宋体"/>
                <w:sz w:val="24"/>
                <w:szCs w:val="24"/>
                <w:highlight w:val="none"/>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eastAsia="宋体" w:cs="宋体"/>
                <w:sz w:val="24"/>
                <w:szCs w:val="24"/>
                <w:highlight w:val="none"/>
                <w:lang w:bidi="ar"/>
              </w:rPr>
              <w:t xml:space="preserve">，每提供1</w:t>
            </w:r>
            <w:r>
              <w:rPr>
                <w:rFonts w:hint="eastAsia" w:ascii="宋体" w:hAnsi="宋体" w:eastAsia="宋体" w:cs="宋体"/>
                <w:sz w:val="24"/>
                <w:szCs w:val="24"/>
                <w:highlight w:val="none"/>
                <w:lang w:val="en-US" w:eastAsia="zh-CN" w:bidi="ar"/>
              </w:rPr>
              <w:t xml:space="preserve">项</w:t>
            </w:r>
            <w:r>
              <w:rPr>
                <w:rFonts w:hint="eastAsia" w:ascii="宋体" w:hAnsi="宋体" w:eastAsia="宋体" w:cs="宋体"/>
                <w:sz w:val="24"/>
                <w:szCs w:val="24"/>
                <w:highlight w:val="none"/>
                <w:lang w:bidi="ar"/>
              </w:rPr>
              <w:t xml:space="preserve">证书得0.5分，本项最高得2分，未提供不得分。</w:t>
            </w:r>
            <w:r/>
          </w:p>
          <w:p>
            <w:pPr>
              <w:jc w:val="left"/>
              <w:spacing w:line="312"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项目组成员（除项目经理、技术负责人外）分别具备网络工程师、系统集成项目管理工程师、通信工程师、信息安全保障人员认证证书（CISAW），每提供1种证书得0.5分，本项最高得1.5分，一人多证只计一次不重复得分，未提供不得分。</w:t>
            </w:r>
            <w:r/>
          </w:p>
          <w:p>
            <w:pPr>
              <w:jc w:val="left"/>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lang w:bidi="ar"/>
              </w:rPr>
              <w:t xml:space="preserve">注：投标时须提供加盖公章的证书扫描件和本单位为其缴纳的近3个月（不含投标当月）任意一个月的社保证明扫描件，未提供或提供不全不得分。</w:t>
            </w:r>
            <w:r/>
          </w:p>
        </w:tc>
      </w:tr>
      <w:tr>
        <w:trPr>
          <w:jc w:val="center"/>
          <w:trHeight w:val="590"/>
        </w:trPr>
        <w:tc>
          <w:tcPr>
            <w:tcW w:w="651"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w:t>
            </w:r>
            <w:r/>
          </w:p>
        </w:tc>
        <w:tc>
          <w:tcPr>
            <w:tcW w:w="6650" w:type="dxa"/>
            <w:vAlign w:val="center"/>
            <w:textDirection w:val="lrTb"/>
            <w:noWrap w:val="false"/>
          </w:tcPr>
          <w:p>
            <w:pPr>
              <w:jc w:val="left"/>
              <w:spacing w:line="312" w:lineRule="auto"/>
              <w:widowControl/>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lang w:bidi="ar"/>
              </w:rPr>
              <w:t xml:space="preserve">投标时提供自202</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年01月01日（以合同签订时间为准）以来完成过类似智能化项目业绩（业绩项中须包含无人机）的，每提供一项得1分，</w:t>
            </w:r>
            <w:r>
              <w:rPr>
                <w:rFonts w:hint="eastAsia" w:ascii="宋体" w:hAnsi="宋体" w:cs="宋体"/>
                <w:sz w:val="24"/>
                <w:szCs w:val="24"/>
                <w:highlight w:val="none"/>
                <w:lang w:val="en-US" w:eastAsia="zh-CN" w:bidi="ar"/>
              </w:rPr>
              <w:t xml:space="preserve">本项</w:t>
            </w:r>
            <w:r>
              <w:rPr>
                <w:rFonts w:hint="eastAsia" w:ascii="宋体" w:hAnsi="宋体" w:eastAsia="宋体" w:cs="宋体"/>
                <w:sz w:val="24"/>
                <w:szCs w:val="24"/>
                <w:highlight w:val="none"/>
                <w:lang w:bidi="ar"/>
              </w:rPr>
              <w:t xml:space="preserve">最高得3分。</w:t>
            </w:r>
            <w:r>
              <w:rPr>
                <w:rFonts w:hint="eastAsia" w:ascii="宋体" w:hAnsi="宋体" w:eastAsia="宋体" w:cs="宋体"/>
                <w:b/>
                <w:bCs/>
                <w:sz w:val="24"/>
                <w:szCs w:val="24"/>
                <w:highlight w:val="none"/>
                <w:lang w:bidi="ar"/>
              </w:rPr>
              <w:t xml:space="preserve">投标时需同时提供合同扫描件，验收报告扫描件，缺一项不得分。如合同和验收报告中均未体现</w:t>
            </w:r>
            <w:bookmarkStart w:id="178" w:name="OLE_LINK7"/>
            <w:r>
              <w:rPr>
                <w:rFonts w:hint="eastAsia" w:ascii="宋体" w:hAnsi="宋体" w:eastAsia="宋体" w:cs="宋体"/>
                <w:b/>
                <w:bCs/>
                <w:sz w:val="24"/>
                <w:szCs w:val="24"/>
                <w:highlight w:val="none"/>
                <w:lang w:bidi="ar"/>
              </w:rPr>
              <w:t xml:space="preserve">无人机</w:t>
            </w:r>
            <w:bookmarkEnd w:id="178"/>
            <w:r>
              <w:rPr>
                <w:rFonts w:hint="eastAsia" w:ascii="宋体" w:hAnsi="宋体" w:eastAsia="宋体" w:cs="宋体"/>
                <w:b/>
                <w:bCs/>
                <w:sz w:val="24"/>
                <w:szCs w:val="24"/>
                <w:highlight w:val="none"/>
                <w:lang w:bidi="ar"/>
              </w:rPr>
              <w:t xml:space="preserve">相关的智能化项目业绩的，还需提供业绩发包方出具包含无人机证明加盖业绩发包方公章扫描件，否则不得分。</w:t>
            </w:r>
            <w:r/>
          </w:p>
        </w:tc>
      </w:tr>
      <w:tr>
        <w:trPr>
          <w:jc w:val="center"/>
          <w:trHeight w:val="493"/>
        </w:trPr>
        <w:tc>
          <w:tcPr>
            <w:tcW w:w="651"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208"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方案部分</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分）</w:t>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项目实施方案</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4分</w:t>
            </w:r>
            <w:r>
              <w:rPr>
                <w:rFonts w:hint="eastAsia" w:ascii="宋体" w:hAnsi="宋体" w:cs="宋体"/>
                <w:color w:val="000000"/>
                <w:sz w:val="24"/>
                <w:szCs w:val="24"/>
                <w:highlight w:val="none"/>
                <w:lang w:eastAsia="zh-CN" w:bidi="ar"/>
              </w:rPr>
              <w:t xml:space="preserve">）</w:t>
            </w:r>
            <w:r/>
          </w:p>
        </w:tc>
        <w:tc>
          <w:tcPr>
            <w:tcW w:w="6650" w:type="dxa"/>
            <w:vAlign w:val="center"/>
            <w:textDirection w:val="lrTb"/>
            <w:noWrap w:val="false"/>
          </w:tcPr>
          <w:p>
            <w:pPr>
              <w:jc w:val="left"/>
              <w:spacing w:line="312"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根据投标人提供的项目实施方案进行评分，方案至少包括设备供货时间进度计划及其进度保证措施、现场安全保障措施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安装、调试、验收，方案内容完整、逻辑清晰、针对性极强的得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分；方案内容较完整、条理清楚的得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r>
        <w:trPr>
          <w:jc w:val="center"/>
          <w:trHeight w:val="495"/>
        </w:trPr>
        <w:tc>
          <w:tcPr>
            <w:tcW w:w="651"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eastAsia="zh-CN" w:bidi="ar"/>
              </w:rPr>
            </w:pPr>
            <w:r>
              <w:rPr>
                <w:rFonts w:hint="eastAsia" w:ascii="宋体" w:hAnsi="宋体" w:cs="宋体"/>
                <w:bCs/>
                <w:color w:val="auto"/>
                <w:sz w:val="24"/>
                <w:szCs w:val="24"/>
              </w:rPr>
              <w:t xml:space="preserve">人员配备</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2分</w:t>
            </w:r>
            <w:r>
              <w:rPr>
                <w:rFonts w:hint="eastAsia" w:ascii="宋体" w:hAnsi="宋体" w:cs="宋体"/>
                <w:bCs/>
                <w:color w:val="auto"/>
                <w:sz w:val="24"/>
                <w:szCs w:val="24"/>
                <w:lang w:eastAsia="zh-CN"/>
              </w:rPr>
              <w:t xml:space="preserve">）</w:t>
            </w:r>
            <w:r/>
          </w:p>
        </w:tc>
        <w:tc>
          <w:tcPr>
            <w:tcW w:w="6650" w:type="dxa"/>
            <w:vAlign w:val="center"/>
            <w:textDirection w:val="lrTb"/>
            <w:noWrap w:val="false"/>
          </w:tcPr>
          <w:p>
            <w:pPr>
              <w:spacing w:line="440" w:lineRule="exact"/>
              <w:rPr>
                <w:rFonts w:hint="eastAsia" w:ascii="宋体" w:hAnsi="宋体" w:eastAsia="宋体" w:cs="宋体"/>
                <w:sz w:val="24"/>
                <w:szCs w:val="24"/>
                <w:highlight w:val="none"/>
              </w:rPr>
            </w:pPr>
            <w:r>
              <w:rPr>
                <w:rFonts w:hint="eastAsia" w:ascii="宋体" w:hAnsi="宋体" w:cs="宋体"/>
                <w:bCs/>
                <w:color w:val="auto"/>
                <w:sz w:val="24"/>
                <w:szCs w:val="24"/>
              </w:rPr>
              <w:t xml:space="preserve">根据投标人针对本项目实施的管理人员投入、各专业施工人员投入、技术人员投入、安装调试人员投入等；管理及专业实施人员配备</w:t>
            </w:r>
            <w:r>
              <w:rPr>
                <w:rFonts w:hint="eastAsia" w:ascii="宋体" w:hAnsi="宋体" w:cs="宋体"/>
                <w:bCs/>
                <w:color w:val="auto"/>
                <w:sz w:val="24"/>
                <w:szCs w:val="24"/>
                <w:lang w:eastAsia="zh-CN"/>
              </w:rPr>
              <w:t xml:space="preserve">，</w:t>
            </w:r>
            <w:r>
              <w:rPr>
                <w:rFonts w:hint="eastAsia" w:ascii="宋体" w:hAnsi="宋体" w:eastAsia="宋体" w:cs="宋体"/>
                <w:sz w:val="24"/>
                <w:szCs w:val="24"/>
                <w:highlight w:val="none"/>
              </w:rPr>
              <w:t xml:space="preserve">方案内容完整、逻辑清晰、针对性极强的得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分；方案内容较完整、条理清楚的得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的得1分；方案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r>
        <w:trPr>
          <w:jc w:val="center"/>
          <w:trHeight w:val="495"/>
        </w:trPr>
        <w:tc>
          <w:tcPr>
            <w:tcW w:w="651"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cs="宋体"/>
                <w:bCs/>
                <w:color w:val="auto"/>
                <w:sz w:val="24"/>
                <w:szCs w:val="24"/>
              </w:rPr>
              <w:t xml:space="preserve">项目技术复杂程度、重点、难点及其解决方案</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1.5分</w:t>
            </w:r>
            <w:r>
              <w:rPr>
                <w:rFonts w:hint="eastAsia" w:ascii="宋体" w:hAnsi="宋体" w:cs="宋体"/>
                <w:bCs/>
                <w:color w:val="auto"/>
                <w:sz w:val="24"/>
                <w:szCs w:val="24"/>
                <w:lang w:eastAsia="zh-CN"/>
              </w:rPr>
              <w:t xml:space="preserve">）</w:t>
            </w:r>
            <w:r/>
          </w:p>
        </w:tc>
        <w:tc>
          <w:tcPr>
            <w:tcW w:w="6650" w:type="dxa"/>
            <w:vAlign w:val="center"/>
            <w:textDirection w:val="lrTb"/>
            <w:noWrap w:val="false"/>
          </w:tcPr>
          <w:p>
            <w:pPr>
              <w:jc w:val="left"/>
              <w:spacing w:line="312" w:lineRule="auto"/>
              <w:widowControl/>
              <w:rPr>
                <w:rFonts w:hint="eastAsia" w:ascii="宋体" w:hAnsi="宋体" w:eastAsia="宋体" w:cs="宋体"/>
                <w:sz w:val="24"/>
                <w:szCs w:val="24"/>
                <w:highlight w:val="none"/>
              </w:rPr>
            </w:pPr>
            <w:r>
              <w:rPr>
                <w:rFonts w:hint="eastAsia" w:ascii="宋体" w:hAnsi="宋体" w:cs="宋体"/>
                <w:bCs/>
                <w:color w:val="auto"/>
                <w:sz w:val="24"/>
                <w:szCs w:val="24"/>
              </w:rPr>
              <w:t xml:space="preserve">根据投标人提供的针对本项目的项目技术复杂性、重点、难点及其</w:t>
            </w:r>
            <w:r>
              <w:rPr>
                <w:rFonts w:hint="eastAsia" w:ascii="宋体" w:hAnsi="宋体" w:cs="宋体"/>
                <w:bCs/>
                <w:color w:val="auto"/>
                <w:sz w:val="24"/>
                <w:szCs w:val="24"/>
                <w:lang w:val="en-US" w:eastAsia="zh-CN"/>
              </w:rPr>
              <w:t xml:space="preserve">应对</w:t>
            </w:r>
            <w:r>
              <w:rPr>
                <w:rFonts w:hint="eastAsia" w:ascii="宋体" w:hAnsi="宋体" w:cs="宋体"/>
                <w:bCs/>
                <w:color w:val="auto"/>
                <w:sz w:val="24"/>
                <w:szCs w:val="24"/>
              </w:rPr>
              <w:t xml:space="preserve">解决方案进行评分，方案至少包括项目的（1）技术复杂性及其解决方案、（2）重点及其解决方案、（3）难点及其解决方案，</w:t>
            </w:r>
            <w:r>
              <w:rPr>
                <w:rFonts w:hint="eastAsia" w:ascii="宋体" w:hAnsi="宋体" w:eastAsia="宋体" w:cs="宋体"/>
                <w:sz w:val="24"/>
                <w:szCs w:val="24"/>
                <w:highlight w:val="none"/>
              </w:rPr>
              <w:t xml:space="preserve">方案内容完整、逻辑清晰、针对性极强的得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分；方案内容较完整、条理清楚的得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的得0.5分；方案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r>
        <w:trPr>
          <w:jc w:val="center"/>
          <w:trHeight w:val="453"/>
        </w:trPr>
        <w:tc>
          <w:tcPr>
            <w:tcW w:w="651"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6" w:type="dxa"/>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cs="宋体"/>
                <w:bCs/>
                <w:color w:val="auto"/>
                <w:sz w:val="24"/>
                <w:szCs w:val="24"/>
              </w:rPr>
              <w:t xml:space="preserve">应急保障</w:t>
            </w:r>
            <w:r>
              <w:rPr>
                <w:rFonts w:hint="eastAsia" w:ascii="宋体" w:hAnsi="宋体" w:cs="宋体"/>
                <w:bCs/>
                <w:color w:val="auto"/>
                <w:sz w:val="24"/>
                <w:szCs w:val="24"/>
                <w:lang w:val="en-US" w:eastAsia="zh-CN"/>
              </w:rPr>
              <w:t xml:space="preserve">方</w:t>
            </w:r>
            <w:r>
              <w:rPr>
                <w:rFonts w:hint="eastAsia" w:ascii="宋体" w:hAnsi="宋体" w:cs="宋体"/>
                <w:bCs/>
                <w:color w:val="auto"/>
                <w:sz w:val="24"/>
                <w:szCs w:val="24"/>
              </w:rPr>
              <w:t xml:space="preserve">案</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4分</w:t>
            </w:r>
            <w:r>
              <w:rPr>
                <w:rFonts w:hint="eastAsia" w:ascii="宋体" w:hAnsi="宋体" w:cs="宋体"/>
                <w:bCs/>
                <w:color w:val="auto"/>
                <w:sz w:val="24"/>
                <w:szCs w:val="24"/>
                <w:lang w:eastAsia="zh-CN"/>
              </w:rPr>
              <w:t xml:space="preserve">）</w:t>
            </w:r>
            <w:r/>
          </w:p>
        </w:tc>
        <w:tc>
          <w:tcPr>
            <w:tcW w:w="6650"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lang w:bidi="ar"/>
              </w:rPr>
            </w:pPr>
            <w:r>
              <w:rPr>
                <w:rFonts w:hint="eastAsia" w:ascii="宋体" w:hAnsi="宋体" w:cs="宋体"/>
                <w:bCs/>
                <w:color w:val="auto"/>
                <w:sz w:val="24"/>
                <w:szCs w:val="24"/>
              </w:rPr>
              <w:t xml:space="preserve">根据投标人提供的针对本项目的应急保障预案进行评分，方案至少包括突发疫情、自然灾害等突发不可预见的紧急情况；</w:t>
            </w:r>
            <w:r>
              <w:rPr>
                <w:rFonts w:hint="eastAsia" w:ascii="宋体" w:hAnsi="宋体" w:eastAsia="宋体" w:cs="宋体"/>
                <w:sz w:val="24"/>
                <w:szCs w:val="24"/>
                <w:highlight w:val="none"/>
              </w:rPr>
              <w:t xml:space="preserve">方案内容完整、逻辑清晰、针对性极强的得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分；方案内容较完整、条理清楚的得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的得2分；方案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r>
        <w:trPr>
          <w:jc w:val="center"/>
          <w:trHeight w:val="2666"/>
        </w:trPr>
        <w:tc>
          <w:tcPr>
            <w:tcW w:w="651"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widowControl/>
              <w:rPr>
                <w:rFonts w:hint="eastAsia" w:ascii="宋体" w:hAnsi="宋体" w:eastAsia="宋体" w:cs="宋体"/>
                <w:color w:val="000000"/>
                <w:sz w:val="24"/>
                <w:szCs w:val="24"/>
                <w:highlight w:val="none"/>
                <w:lang w:eastAsia="zh-CN" w:bidi="ar"/>
              </w:rPr>
            </w:pPr>
            <w:r>
              <w:rPr>
                <w:rFonts w:hint="eastAsia" w:ascii="宋体" w:hAnsi="宋体" w:cs="宋体"/>
                <w:bCs/>
                <w:color w:val="auto"/>
                <w:sz w:val="24"/>
                <w:szCs w:val="24"/>
              </w:rPr>
              <w:t xml:space="preserve">项目培训方案</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1.5分</w:t>
            </w:r>
            <w:r>
              <w:rPr>
                <w:rFonts w:hint="eastAsia" w:ascii="宋体" w:hAnsi="宋体" w:cs="宋体"/>
                <w:bCs/>
                <w:color w:val="auto"/>
                <w:sz w:val="24"/>
                <w:szCs w:val="24"/>
                <w:lang w:eastAsia="zh-CN"/>
              </w:rPr>
              <w:t xml:space="preserve">）</w:t>
            </w:r>
            <w:r/>
          </w:p>
        </w:tc>
        <w:tc>
          <w:tcPr>
            <w:tcW w:w="665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cs="宋体"/>
                <w:bCs/>
                <w:color w:val="auto"/>
                <w:sz w:val="24"/>
                <w:szCs w:val="24"/>
              </w:rPr>
              <w:t xml:space="preserve">根据投标人提供的项目培训方案进行评分，方案至少包括培训的技术人员安排、培训频率、培训内容等；</w:t>
            </w:r>
            <w:r>
              <w:rPr>
                <w:rFonts w:hint="eastAsia" w:ascii="宋体" w:hAnsi="宋体" w:eastAsia="宋体" w:cs="宋体"/>
                <w:sz w:val="24"/>
                <w:szCs w:val="24"/>
                <w:highlight w:val="none"/>
              </w:rPr>
              <w:t xml:space="preserve">方案内容完整、逻辑清晰、针对性极强的得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分；方案内容较完整、条理清楚的得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的得0.5分；方案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r>
        <w:trPr>
          <w:jc w:val="center"/>
          <w:trHeight w:val="655"/>
        </w:trPr>
        <w:tc>
          <w:tcPr>
            <w:tcW w:w="651"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lang w:bidi="ar"/>
              </w:rPr>
              <w:t xml:space="preserve">售后服务方案（</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分）</w:t>
            </w:r>
            <w:r/>
          </w:p>
        </w:tc>
        <w:tc>
          <w:tcPr>
            <w:tcW w:w="6650"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cs="宋体"/>
                <w:bCs/>
                <w:color w:val="auto"/>
                <w:sz w:val="24"/>
                <w:szCs w:val="24"/>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等；</w:t>
            </w:r>
            <w:r>
              <w:rPr>
                <w:rFonts w:hint="eastAsia" w:ascii="宋体" w:hAnsi="宋体" w:eastAsia="宋体" w:cs="宋体"/>
                <w:sz w:val="24"/>
                <w:szCs w:val="24"/>
                <w:highlight w:val="none"/>
              </w:rPr>
              <w:t xml:space="preserve">方案内容完整、逻辑清晰、针对性极强的得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分；方案内容较完整、条理清楚的得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w:t>
            </w:r>
            <w:r>
              <w:rPr>
                <w:rFonts w:hint="eastAsia" w:ascii="宋体" w:hAnsi="宋体" w:eastAsia="宋体" w:cs="宋体"/>
                <w:sz w:val="24"/>
                <w:szCs w:val="24"/>
              </w:rPr>
              <w:t xml:space="preserve">基本内容齐全</w:t>
            </w:r>
            <w:r>
              <w:rPr>
                <w:rFonts w:hint="eastAsia" w:ascii="宋体" w:hAnsi="宋体" w:eastAsia="宋体" w:cs="宋体"/>
                <w:sz w:val="24"/>
                <w:szCs w:val="24"/>
                <w:lang w:val="en-US" w:eastAsia="zh-CN"/>
              </w:rPr>
              <w:t xml:space="preserve">的得2分；方案</w:t>
            </w:r>
            <w:r>
              <w:rPr>
                <w:rFonts w:hint="eastAsia" w:ascii="宋体" w:hAnsi="宋体" w:eastAsia="宋体" w:cs="宋体"/>
                <w:sz w:val="24"/>
                <w:szCs w:val="24"/>
                <w:highlight w:val="none"/>
              </w:rPr>
              <w:t xml:space="preserve">内容残缺、条理混乱，缺少核心</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rPr>
              <w:t xml:space="preserve">分；未提供</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不得分。</w:t>
            </w:r>
            <w:r/>
          </w:p>
        </w:tc>
      </w:tr>
    </w:tbl>
    <w:p>
      <w:pPr>
        <w:pStyle w:val="929"/>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929"/>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929"/>
        <w:jc w:val="both"/>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9"/>
        <w:jc w:val="center"/>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t xml:space="preserve">第六章  投标文件格式</w:t>
      </w:r>
      <w:r/>
    </w:p>
    <w:p>
      <w:pPr>
        <w:pStyle w:val="929"/>
        <w:jc w:val="center"/>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929"/>
        <w:jc w:val="center"/>
        <w:spacing w:beforeAutospacing="0" w:afterAutospacing="0"/>
        <w:rPr>
          <w:rFonts w:hint="eastAsia" w:ascii="宋体" w:hAnsi="宋体" w:cs="宋体"/>
          <w:b/>
          <w:sz w:val="72"/>
          <w:szCs w:val="72"/>
          <w:highlight w:val="none"/>
        </w:rPr>
      </w:pPr>
      <w:r/>
      <w:bookmarkStart w:id="179" w:name="_Toc120614282"/>
      <w:r/>
      <w:bookmarkEnd w:id="179"/>
      <w:r/>
      <w:bookmarkStart w:id="180" w:name="_Toc49090576"/>
      <w:r/>
      <w:bookmarkEnd w:id="180"/>
      <w:r/>
      <w:bookmarkStart w:id="181" w:name="_Hlt26671244"/>
      <w:r/>
      <w:bookmarkStart w:id="182" w:name="_Hlt26955039"/>
      <w:r/>
      <w:bookmarkStart w:id="183" w:name="_Toc26554094"/>
      <w:r/>
      <w:r/>
    </w:p>
    <w:p>
      <w:pPr>
        <w:pStyle w:val="929"/>
        <w:jc w:val="center"/>
        <w:spacing w:beforeAutospacing="0" w:afterAutospacing="0"/>
        <w:rPr>
          <w:highlight w:val="none"/>
        </w:rPr>
      </w:pPr>
      <w:r>
        <w:rPr>
          <w:rFonts w:hint="eastAsia" w:ascii="宋体" w:hAnsi="宋体" w:cs="宋体"/>
          <w:b/>
          <w:sz w:val="72"/>
          <w:szCs w:val="72"/>
          <w:highlight w:val="none"/>
        </w:rPr>
        <w:t xml:space="preserve">投  标  文  件</w:t>
      </w:r>
      <w:r/>
    </w:p>
    <w:p>
      <w:pPr>
        <w:pStyle w:val="929"/>
        <w:jc w:val="center"/>
        <w:spacing w:beforeAutospacing="0" w:afterAutospacing="0"/>
        <w:rPr>
          <w:highlight w:val="none"/>
        </w:rPr>
      </w:pPr>
      <w:r>
        <w:rPr>
          <w:highlight w:val="none"/>
        </w:rPr>
        <w:t xml:space="preserve"> </w:t>
      </w:r>
      <w:r/>
    </w:p>
    <w:p>
      <w:pPr>
        <w:pStyle w:val="929"/>
        <w:jc w:val="center"/>
        <w:spacing w:beforeAutospacing="0" w:afterAutospacing="0"/>
        <w:rPr>
          <w:highlight w:val="none"/>
        </w:rPr>
      </w:pPr>
      <w:r>
        <w:rPr>
          <w:highlight w:val="none"/>
        </w:rPr>
        <w:t xml:space="preserve"> </w:t>
      </w:r>
      <w:r/>
    </w:p>
    <w:p>
      <w:pPr>
        <w:pStyle w:val="929"/>
        <w:jc w:val="center"/>
        <w:spacing w:beforeAutospacing="0" w:afterAutospacing="0"/>
        <w:rPr>
          <w:highlight w:val="none"/>
        </w:rPr>
      </w:pPr>
      <w:r>
        <w:rPr>
          <w:highlight w:val="none"/>
        </w:rPr>
        <w:t xml:space="preserve"> </w:t>
      </w:r>
      <w:r/>
    </w:p>
    <w:p>
      <w:pPr>
        <w:pStyle w:val="929"/>
        <w:jc w:val="center"/>
        <w:spacing w:beforeAutospacing="0" w:afterAutospacing="0"/>
        <w:rPr>
          <w:highlight w:val="none"/>
        </w:rPr>
      </w:pPr>
      <w:r>
        <w:rPr>
          <w:highlight w:val="none"/>
        </w:rPr>
      </w:r>
      <w:r/>
    </w:p>
    <w:p>
      <w:pPr>
        <w:pStyle w:val="929"/>
        <w:jc w:val="center"/>
        <w:spacing w:beforeAutospacing="0" w:afterAutospacing="0"/>
        <w:rPr>
          <w:highlight w:val="none"/>
        </w:rPr>
      </w:pPr>
      <w:r>
        <w:rPr>
          <w:highlight w:val="none"/>
        </w:rPr>
      </w:r>
      <w:r/>
    </w:p>
    <w:p>
      <w:pPr>
        <w:pStyle w:val="929"/>
        <w:jc w:val="center"/>
        <w:spacing w:beforeAutospacing="0" w:afterAutospacing="0"/>
        <w:rPr>
          <w:highlight w:val="none"/>
        </w:rPr>
      </w:pPr>
      <w:r>
        <w:rPr>
          <w:highlight w:val="none"/>
        </w:rPr>
      </w:r>
      <w:r/>
    </w:p>
    <w:p>
      <w:pPr>
        <w:pStyle w:val="929"/>
        <w:jc w:val="center"/>
        <w:spacing w:beforeAutospacing="0" w:afterAutospacing="0"/>
        <w:rPr>
          <w:highlight w:val="none"/>
        </w:rPr>
      </w:pPr>
      <w:r>
        <w:rPr>
          <w:highlight w:val="none"/>
        </w:rPr>
      </w:r>
      <w:r/>
    </w:p>
    <w:p>
      <w:pPr>
        <w:pStyle w:val="929"/>
        <w:jc w:val="center"/>
        <w:spacing w:beforeAutospacing="0" w:afterAutospacing="0"/>
        <w:rPr>
          <w:highlight w:val="none"/>
        </w:rPr>
      </w:pPr>
      <w:r>
        <w:rPr>
          <w:highlight w:val="none"/>
        </w:rPr>
      </w:r>
      <w:r/>
    </w:p>
    <w:p>
      <w:pPr>
        <w:pStyle w:val="929"/>
        <w:jc w:val="center"/>
        <w:spacing w:beforeAutospacing="0" w:afterAutospacing="0"/>
        <w:rPr>
          <w:highlight w:val="none"/>
        </w:rPr>
      </w:pPr>
      <w:r>
        <w:rPr>
          <w:highlight w:val="none"/>
        </w:rPr>
        <w:t xml:space="preserve"> </w:t>
      </w:r>
      <w:r/>
    </w:p>
    <w:p>
      <w:pPr>
        <w:pStyle w:val="929"/>
        <w:jc w:val="center"/>
        <w:spacing w:beforeAutospacing="0" w:afterAutospacing="0"/>
        <w:rPr>
          <w:highlight w:val="none"/>
        </w:rPr>
      </w:pPr>
      <w:r>
        <w:rPr>
          <w:highlight w:val="none"/>
        </w:rPr>
        <w:t xml:space="preserve"> </w:t>
      </w:r>
      <w:r/>
    </w:p>
    <w:p>
      <w:pPr>
        <w:pStyle w:val="929"/>
        <w:ind w:firstLine="1084"/>
        <w:jc w:val="both"/>
        <w:spacing w:beforeAutospacing="0" w:afterAutospacing="0"/>
        <w:rPr>
          <w:highlight w:val="none"/>
        </w:rPr>
      </w:pPr>
      <w:r>
        <w:rPr>
          <w:rFonts w:hint="eastAsia" w:ascii="宋体" w:hAnsi="宋体" w:cs="宋体"/>
          <w:b/>
          <w:sz w:val="36"/>
          <w:szCs w:val="36"/>
          <w:highlight w:val="none"/>
        </w:rPr>
        <w:t xml:space="preserve">项 目 名 称：</w:t>
      </w:r>
      <w:r>
        <w:rPr>
          <w:rFonts w:hint="eastAsia" w:ascii="宋体" w:hAnsi="宋体" w:cs="宋体"/>
          <w:b/>
          <w:sz w:val="36"/>
          <w:szCs w:val="36"/>
          <w:highlight w:val="none"/>
          <w:u w:val="single"/>
        </w:rPr>
        <w:t xml:space="preserve">             </w:t>
      </w:r>
      <w:r/>
    </w:p>
    <w:p>
      <w:pPr>
        <w:pStyle w:val="929"/>
        <w:ind w:firstLine="1084"/>
        <w:jc w:val="both"/>
        <w:spacing w:beforeAutospacing="0" w:afterAutospacing="0"/>
        <w:rPr>
          <w:highlight w:val="none"/>
        </w:rPr>
      </w:pPr>
      <w:r>
        <w:rPr>
          <w:rFonts w:hint="eastAsia" w:ascii="宋体" w:hAnsi="宋体" w:cs="宋体"/>
          <w:b/>
          <w:sz w:val="36"/>
          <w:szCs w:val="36"/>
          <w:highlight w:val="none"/>
        </w:rPr>
        <w:t xml:space="preserve">项 目 编 号：</w:t>
      </w:r>
      <w:r>
        <w:rPr>
          <w:rFonts w:hint="eastAsia" w:ascii="宋体" w:hAnsi="宋体" w:cs="宋体"/>
          <w:b/>
          <w:sz w:val="36"/>
          <w:szCs w:val="36"/>
          <w:highlight w:val="none"/>
          <w:u w:val="single"/>
        </w:rPr>
        <w:t xml:space="preserve">             </w:t>
      </w:r>
      <w:r/>
    </w:p>
    <w:p>
      <w:pPr>
        <w:pStyle w:val="929"/>
        <w:jc w:val="both"/>
        <w:spacing w:beforeAutospacing="0" w:afterAutospacing="0"/>
        <w:rPr>
          <w:highlight w:val="none"/>
        </w:rPr>
      </w:pPr>
      <w:r>
        <w:rPr>
          <w:rFonts w:hint="eastAsia" w:ascii="宋体" w:hAnsi="宋体" w:cs="宋体"/>
          <w:b/>
          <w:sz w:val="36"/>
          <w:szCs w:val="36"/>
          <w:highlight w:val="none"/>
        </w:rPr>
        <w:t xml:space="preserve">      投标人名称 ：</w:t>
      </w:r>
      <w:r>
        <w:rPr>
          <w:rFonts w:hint="eastAsia" w:ascii="宋体" w:hAnsi="宋体" w:cs="宋体"/>
          <w:b/>
          <w:sz w:val="36"/>
          <w:szCs w:val="36"/>
          <w:highlight w:val="none"/>
          <w:u w:val="single"/>
        </w:rPr>
        <w:t xml:space="preserve">（加盖CA电子公章）</w:t>
      </w:r>
      <w:r/>
    </w:p>
    <w:p>
      <w:pPr>
        <w:pStyle w:val="929"/>
        <w:jc w:val="both"/>
        <w:spacing w:beforeAutospacing="0" w:afterAutospacing="0"/>
        <w:rPr>
          <w:highlight w:val="none"/>
        </w:rPr>
      </w:pPr>
      <w:r>
        <w:rPr>
          <w:rFonts w:hint="eastAsia" w:ascii="宋体" w:hAnsi="宋体" w:cs="宋体"/>
          <w:b/>
          <w:sz w:val="36"/>
          <w:szCs w:val="36"/>
          <w:highlight w:val="none"/>
        </w:rPr>
        <w:t xml:space="preserve">      日   期 ：</w:t>
      </w:r>
      <w:r>
        <w:rPr>
          <w:rFonts w:hint="eastAsia" w:ascii="宋体" w:hAnsi="宋体" w:cs="宋体"/>
          <w:b/>
          <w:sz w:val="36"/>
          <w:szCs w:val="36"/>
          <w:highlight w:val="none"/>
          <w:u w:val="single"/>
        </w:rPr>
        <w:t xml:space="preserve">             </w:t>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both"/>
        <w:spacing w:beforeAutospacing="0" w:afterAutospacing="0" w:line="0" w:lineRule="atLeast"/>
        <w:rPr>
          <w:highlight w:val="none"/>
        </w:rPr>
      </w:pPr>
      <w:r>
        <w:rPr>
          <w:highlight w:val="none"/>
        </w:rPr>
      </w:r>
      <w:r/>
    </w:p>
    <w:p>
      <w:pPr>
        <w:pStyle w:val="929"/>
        <w:jc w:val="both"/>
        <w:spacing w:beforeAutospacing="0" w:afterAutospacing="0" w:line="0" w:lineRule="atLeast"/>
        <w:rPr>
          <w:highlight w:val="none"/>
        </w:rPr>
      </w:pPr>
      <w:r>
        <w:rPr>
          <w:highlight w:val="none"/>
        </w:rPr>
      </w:r>
      <w:r/>
    </w:p>
    <w:p>
      <w:pPr>
        <w:pStyle w:val="929"/>
        <w:jc w:val="both"/>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rFonts w:hint="eastAsia" w:ascii="宋体" w:hAnsi="宋体" w:cs="宋体"/>
          <w:b/>
          <w:sz w:val="32"/>
          <w:szCs w:val="32"/>
          <w:highlight w:val="none"/>
        </w:rPr>
        <w:t xml:space="preserve">投标文件目录</w:t>
      </w:r>
      <w:r/>
    </w:p>
    <w:p>
      <w:pPr>
        <w:pStyle w:val="929"/>
        <w:jc w:val="center"/>
        <w:spacing w:beforeAutospacing="0" w:afterAutospacing="0" w:line="0" w:lineRule="atLeast"/>
        <w:rPr>
          <w:highlight w:val="none"/>
        </w:rPr>
      </w:pPr>
      <w:r>
        <w:rPr>
          <w:highlight w:val="none"/>
        </w:rPr>
        <w:t xml:space="preserve"> </w:t>
      </w:r>
      <w:r/>
    </w:p>
    <w:p>
      <w:pPr>
        <w:pStyle w:val="929"/>
        <w:ind w:left="480"/>
        <w:jc w:val="both"/>
        <w:spacing w:beforeAutospacing="0" w:afterAutospacing="0" w:line="360" w:lineRule="auto"/>
        <w:rPr>
          <w:iCs/>
          <w:highlight w:val="none"/>
        </w:rPr>
      </w:pPr>
      <w:r>
        <w:rPr>
          <w:rFonts w:hint="eastAsia" w:ascii="宋体" w:hAnsi="宋体" w:cs="宋体"/>
          <w:iCs/>
          <w:highlight w:val="none"/>
        </w:rPr>
        <w:t xml:space="preserve">一、法人或者其他组织的营业执照等证明文件，自然人的身份证明</w:t>
      </w:r>
      <w:r/>
    </w:p>
    <w:p>
      <w:pPr>
        <w:ind w:firstLine="480"/>
        <w:jc w:val="left"/>
        <w:spacing w:line="360" w:lineRule="auto"/>
        <w:tabs>
          <w:tab w:val="left" w:pos="1331" w:leader="none"/>
        </w:tabs>
        <w:rPr>
          <w:iCs/>
          <w:highlight w:val="none"/>
        </w:rPr>
      </w:pPr>
      <w:r>
        <w:rPr>
          <w:rFonts w:hint="eastAsia" w:ascii="宋体" w:hAnsi="宋体" w:cs="宋体"/>
          <w:iCs/>
          <w:sz w:val="24"/>
          <w:highlight w:val="none"/>
        </w:rPr>
        <w:t xml:space="preserve">二、上一年度的财务状况报告（至少提供资产负债表、利润表、现金流量表，投标人成立不满一年无需提供）</w:t>
      </w:r>
      <w:r/>
    </w:p>
    <w:p>
      <w:pPr>
        <w:pStyle w:val="929"/>
        <w:ind w:left="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三、具备履行合同所必需的设备和专业技术能力的书面声明</w:t>
      </w:r>
      <w:r/>
    </w:p>
    <w:p>
      <w:pPr>
        <w:pStyle w:val="929"/>
        <w:ind w:left="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五、参加政府采购活动前 3 年内在经营活动中没有重大违法记录的书面声明</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六、特定资格要求的证明文件（如果本项目设置特定资格要求，则需要提供）</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七、法人授权书</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八、投标函</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九、中小企业声明函</w:t>
      </w:r>
      <w:r/>
    </w:p>
    <w:p>
      <w:pPr>
        <w:pStyle w:val="929"/>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十、残疾人福利性单位声明函</w:t>
      </w:r>
      <w:r/>
    </w:p>
    <w:p>
      <w:pPr>
        <w:pStyle w:val="929"/>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十一、 关于符合本国产品标准的声明函</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十二、投标产品品牌型号及分项报价表</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十三、技术要求响应及偏离表</w:t>
      </w:r>
      <w:r/>
    </w:p>
    <w:p>
      <w:pPr>
        <w:pStyle w:val="929"/>
        <w:ind w:firstLine="480"/>
        <w:jc w:val="both"/>
        <w:spacing w:beforeAutospacing="0" w:afterAutospacing="0" w:line="360" w:lineRule="auto"/>
        <w:rPr>
          <w:iCs/>
          <w:highlight w:val="none"/>
        </w:rPr>
      </w:pPr>
      <w:r>
        <w:rPr>
          <w:rFonts w:hint="eastAsia" w:ascii="宋体" w:hAnsi="宋体" w:cs="宋体"/>
          <w:iCs/>
          <w:highlight w:val="none"/>
        </w:rPr>
        <w:t xml:space="preserve">十四、商务要求响应及偏离表</w:t>
      </w:r>
      <w:r/>
    </w:p>
    <w:p>
      <w:pPr>
        <w:pStyle w:val="929"/>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十五、开标一览表</w:t>
      </w:r>
      <w:r/>
    </w:p>
    <w:p>
      <w:pPr>
        <w:pStyle w:val="929"/>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十六、盐城市政府采购事前信用承诺书</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highlight w:val="none"/>
        </w:rPr>
      </w:pPr>
      <w:r>
        <w:rPr>
          <w:highlight w:val="none"/>
        </w:rPr>
        <w:t xml:space="preserve"> </w:t>
      </w:r>
      <w:r/>
    </w:p>
    <w:p>
      <w:pPr>
        <w:pStyle w:val="929"/>
        <w:jc w:val="both"/>
        <w:spacing w:beforeAutospacing="0" w:afterAutospacing="0" w:line="0" w:lineRule="atLeast"/>
        <w:rPr>
          <w:highlight w:val="none"/>
        </w:rPr>
      </w:pPr>
      <w:r>
        <w:rPr>
          <w:highlight w:val="none"/>
        </w:rPr>
      </w:r>
      <w:r/>
    </w:p>
    <w:p>
      <w:pPr>
        <w:pStyle w:val="929"/>
        <w:ind w:firstLine="480"/>
        <w:jc w:val="both"/>
        <w:spacing w:beforeAutospacing="0" w:afterAutospacing="0" w:line="0" w:lineRule="atLeast"/>
        <w:rPr>
          <w:highlight w:val="none"/>
        </w:rPr>
      </w:pPr>
      <w:r>
        <w:rPr>
          <w:highlight w:val="none"/>
        </w:rPr>
      </w:r>
      <w:r/>
    </w:p>
    <w:p>
      <w:pPr>
        <w:pStyle w:val="929"/>
        <w:ind w:firstLine="480"/>
        <w:jc w:val="both"/>
        <w:spacing w:beforeAutospacing="0" w:afterAutospacing="0" w:line="0" w:lineRule="atLeast"/>
        <w:rPr>
          <w:highlight w:val="none"/>
        </w:rPr>
      </w:pPr>
      <w:r>
        <w:rPr>
          <w:highlight w:val="none"/>
        </w:rPr>
      </w:r>
      <w:r/>
    </w:p>
    <w:p>
      <w:pPr>
        <w:pStyle w:val="929"/>
        <w:jc w:val="both"/>
        <w:spacing w:beforeAutospacing="0" w:afterAutospacing="0" w:line="0" w:lineRule="atLeast"/>
        <w:rPr>
          <w:highlight w:val="none"/>
        </w:rPr>
      </w:pPr>
      <w:r>
        <w:rPr>
          <w:highlight w:val="none"/>
        </w:rPr>
      </w:r>
      <w:r/>
    </w:p>
    <w:p>
      <w:pPr>
        <w:pStyle w:val="929"/>
        <w:jc w:val="both"/>
        <w:spacing w:beforeAutospacing="0" w:afterAutospacing="0"/>
        <w:rPr>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929"/>
        <w:ind w:firstLine="480"/>
        <w:jc w:val="both"/>
        <w:spacing w:beforeAutospacing="0" w:afterAutospacing="0" w:line="0" w:lineRule="atLeast"/>
        <w:rPr>
          <w:highlight w:val="none"/>
        </w:rPr>
      </w:pPr>
      <w:r>
        <w:rPr>
          <w:highlight w:val="none"/>
        </w:rPr>
        <w:t xml:space="preserve"> </w:t>
      </w:r>
      <w:r/>
    </w:p>
    <w:p>
      <w:pPr>
        <w:pStyle w:val="929"/>
        <w:jc w:val="both"/>
        <w:spacing w:beforeAutospacing="0" w:afterAutospacing="0"/>
        <w:rPr>
          <w:rFonts w:eastAsia="黑体"/>
          <w:highlight w:val="none"/>
        </w:rPr>
      </w:pPr>
      <w:r>
        <w:rPr>
          <w:rFonts w:hint="eastAsia" w:ascii="黑体" w:hAnsi="宋体" w:eastAsia="黑体" w:cs="黑体"/>
          <w:i/>
          <w:sz w:val="32"/>
          <w:szCs w:val="32"/>
          <w:highlight w:val="none"/>
          <w:u w:val="single"/>
        </w:rPr>
        <w:t xml:space="preserve">二、上一年度的财务状况报告</w:t>
      </w:r>
      <w:r/>
    </w:p>
    <w:p>
      <w:pPr>
        <w:ind w:firstLine="480"/>
        <w:jc w:val="left"/>
        <w:tabs>
          <w:tab w:val="left" w:pos="1331" w:leader="none"/>
        </w:tabs>
        <w:rPr>
          <w:iCs/>
          <w:highlight w:val="none"/>
        </w:rPr>
      </w:pPr>
      <w:r>
        <w:rPr>
          <w:rFonts w:hint="eastAsia" w:ascii="宋体" w:hAnsi="宋体" w:cs="宋体"/>
          <w:iCs/>
          <w:sz w:val="24"/>
          <w:highlight w:val="none"/>
        </w:rPr>
        <w:t xml:space="preserve">（至少提供资产负债表、利润表、现金流量表，</w:t>
      </w:r>
      <w:r>
        <w:rPr>
          <w:rFonts w:hint="eastAsia" w:ascii="宋体" w:hAnsi="宋体" w:cs="宋体"/>
          <w:iCs/>
          <w:highlight w:val="none"/>
        </w:rPr>
        <w:t xml:space="preserve">投标人成立不满一年无需提供）</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929"/>
        <w:ind w:firstLine="492"/>
        <w:jc w:val="both"/>
        <w:spacing w:beforeAutospacing="0" w:afterAutospacing="0" w:line="0" w:lineRule="atLeast"/>
        <w:rPr>
          <w:highlight w:val="none"/>
        </w:rPr>
      </w:pPr>
      <w:r>
        <w:rPr>
          <w:rFonts w:hint="eastAsia" w:ascii="宋体" w:hAnsi="宋体" w:cs="宋体"/>
          <w:highlight w:val="none"/>
        </w:rPr>
        <w:t xml:space="preserve">我单位郑重声明：我单位具备履行本项采购合同所必需的设备和专业技术能力，为履行本项采购合同我公司具备如下主要设备和主要专业技术能力：</w:t>
      </w:r>
      <w:r/>
    </w:p>
    <w:p>
      <w:pPr>
        <w:pStyle w:val="929"/>
        <w:ind w:firstLine="492"/>
        <w:jc w:val="both"/>
        <w:spacing w:beforeAutospacing="0" w:afterAutospacing="0" w:line="0" w:lineRule="atLeast"/>
        <w:rPr>
          <w:highlight w:val="none"/>
        </w:rPr>
      </w:pPr>
      <w:r>
        <w:rPr>
          <w:rFonts w:hint="eastAsia" w:ascii="宋体" w:hAnsi="宋体" w:cs="宋体"/>
          <w:highlight w:val="none"/>
        </w:rPr>
        <w:t xml:space="preserve">主要设备有：</w:t>
      </w:r>
      <w:r>
        <w:rPr>
          <w:rFonts w:hint="eastAsia" w:ascii="宋体" w:hAnsi="宋体" w:cs="宋体"/>
          <w:highlight w:val="none"/>
          <w:u w:val="single"/>
        </w:rPr>
        <w:t xml:space="preserve">  </w:t>
      </w:r>
      <w:r>
        <w:rPr>
          <w:rFonts w:hint="eastAsia" w:ascii="宋体" w:hAnsi="宋体" w:cs="宋体"/>
          <w:highlight w:val="none"/>
        </w:rPr>
        <w:t xml:space="preserve">。</w:t>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t xml:space="preserve">主要专业技术能力有：</w:t>
      </w:r>
      <w:r>
        <w:rPr>
          <w:rFonts w:hint="eastAsia" w:ascii="宋体" w:hAnsi="宋体" w:cs="宋体"/>
          <w:highlight w:val="none"/>
          <w:u w:val="single"/>
        </w:rPr>
        <w:t xml:space="preserve">   </w:t>
      </w:r>
      <w:r>
        <w:rPr>
          <w:rFonts w:hint="eastAsia" w:ascii="宋体" w:hAnsi="宋体" w:cs="宋体"/>
          <w:highlight w:val="none"/>
        </w:rPr>
        <w:t xml:space="preserve">。</w:t>
      </w:r>
      <w:r/>
    </w:p>
    <w:p>
      <w:pPr>
        <w:pStyle w:val="929"/>
        <w:jc w:val="both"/>
        <w:spacing w:beforeAutospacing="0" w:afterAutospacing="0"/>
        <w:rPr>
          <w:highlight w:val="none"/>
        </w:rPr>
      </w:pPr>
      <w:r>
        <w:rPr>
          <w:rFonts w:hint="eastAsia" w:ascii="黑体" w:hAnsi="宋体" w:eastAsia="黑体" w:cs="黑体"/>
          <w:i/>
          <w:sz w:val="32"/>
          <w:szCs w:val="32"/>
          <w:highlight w:val="none"/>
          <w:u w:val="single"/>
        </w:rPr>
        <w:t xml:space="preserve">四、依法缴纳税收和社会保障资金的相关材料</w:t>
      </w:r>
      <w:r/>
    </w:p>
    <w:p>
      <w:pPr>
        <w:pStyle w:val="929"/>
        <w:ind w:firstLine="480"/>
        <w:jc w:val="both"/>
        <w:spacing w:beforeAutospacing="0" w:afterAutospacing="0"/>
        <w:rPr>
          <w:highlight w:val="none"/>
        </w:rPr>
      </w:pPr>
      <w:r>
        <w:rPr>
          <w:rFonts w:hint="eastAsia" w:ascii="宋体" w:hAnsi="宋体" w:cs="宋体"/>
          <w:highlight w:val="none"/>
        </w:rPr>
        <w:t xml:space="preserve">提供提交投标文件截止时间前一年内至少一个月依法缴纳税收及缴纳社会保障资金的证明材料。投标人依法享受缓缴、免缴税收、社会保障资金的提供证明材料。</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929"/>
        <w:jc w:val="both"/>
        <w:spacing w:beforeAutospacing="0" w:afterAutospacing="0" w:line="0" w:lineRule="atLeast"/>
        <w:rPr>
          <w:rFonts w:hint="eastAsia" w:ascii="宋体" w:hAnsi="宋体" w:cs="宋体"/>
          <w:b/>
          <w:sz w:val="44"/>
          <w:szCs w:val="44"/>
          <w:highlight w:val="none"/>
        </w:rPr>
      </w:pPr>
      <w:r>
        <w:rPr>
          <w:rFonts w:hint="eastAsia" w:ascii="宋体" w:hAnsi="宋体" w:cs="宋体"/>
          <w:b/>
          <w:sz w:val="44"/>
          <w:szCs w:val="44"/>
          <w:highlight w:val="none"/>
        </w:rPr>
        <w:t xml:space="preserve">                </w:t>
      </w:r>
      <w:r/>
    </w:p>
    <w:p>
      <w:pPr>
        <w:pStyle w:val="929"/>
        <w:ind w:firstLine="3092"/>
        <w:jc w:val="both"/>
        <w:spacing w:beforeAutospacing="0" w:afterAutospacing="0" w:line="0" w:lineRule="atLeast"/>
        <w:rPr>
          <w:highlight w:val="none"/>
        </w:rPr>
      </w:pPr>
      <w:r>
        <w:rPr>
          <w:rFonts w:hint="eastAsia" w:ascii="宋体" w:hAnsi="宋体" w:cs="宋体"/>
          <w:b/>
          <w:sz w:val="44"/>
          <w:szCs w:val="44"/>
          <w:highlight w:val="none"/>
        </w:rPr>
        <w:t xml:space="preserve"> 声  明</w:t>
      </w:r>
      <w:r/>
    </w:p>
    <w:p>
      <w:pPr>
        <w:pStyle w:val="929"/>
        <w:jc w:val="both"/>
        <w:spacing w:beforeAutospacing="0" w:afterAutospacing="0" w:line="0" w:lineRule="atLeast"/>
        <w:rPr>
          <w:highlight w:val="none"/>
        </w:rPr>
      </w:pPr>
      <w:r>
        <w:rPr>
          <w:rFonts w:hint="eastAsia" w:ascii="宋体" w:hAnsi="宋体" w:cs="宋体"/>
          <w:b/>
          <w:highlight w:val="none"/>
        </w:rPr>
        <w:t xml:space="preserve">    </w:t>
      </w:r>
      <w:r>
        <w:rPr>
          <w:rFonts w:hint="eastAsia" w:ascii="宋体" w:hAnsi="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rFonts w:hint="eastAsia" w:ascii="黑体" w:hAnsi="宋体" w:eastAsia="黑体" w:cs="黑体"/>
          <w:i/>
          <w:sz w:val="32"/>
          <w:szCs w:val="32"/>
          <w:highlight w:val="none"/>
          <w:u w:val="single"/>
        </w:rPr>
      </w:pPr>
      <w:r/>
      <w:bookmarkStart w:id="184" w:name="OLE_LINK66"/>
      <w:r>
        <w:rPr>
          <w:rFonts w:hint="eastAsia" w:ascii="黑体" w:hAnsi="宋体" w:eastAsia="黑体" w:cs="黑体"/>
          <w:i/>
          <w:sz w:val="32"/>
          <w:szCs w:val="32"/>
          <w:highlight w:val="none"/>
          <w:u w:val="single"/>
        </w:rPr>
        <w:t xml:space="preserve">六、</w:t>
      </w:r>
      <w:bookmarkStart w:id="185" w:name="_Hlk195811582"/>
      <w:r>
        <w:rPr>
          <w:rFonts w:hint="eastAsia" w:ascii="黑体" w:hAnsi="宋体" w:eastAsia="黑体" w:cs="黑体"/>
          <w:i/>
          <w:sz w:val="32"/>
          <w:szCs w:val="32"/>
          <w:highlight w:val="none"/>
          <w:u w:val="single"/>
        </w:rPr>
        <w:t xml:space="preserve">单位负责人为同一人或者存在直接控股、服务关系的不同供应商，不得参加同一合同项下的政府采购活动证明文件</w:t>
      </w:r>
      <w:bookmarkEnd w:id="185"/>
      <w:r/>
      <w:r/>
    </w:p>
    <w:p>
      <w:pPr>
        <w:pStyle w:val="759"/>
        <w:ind w:firstLine="1680"/>
        <w:jc w:val="both"/>
        <w:spacing w:beforeAutospacing="0" w:afterAutospacing="0" w:line="0" w:lineRule="atLeast"/>
        <w:rPr>
          <w:highlight w:val="none"/>
        </w:rPr>
      </w:pPr>
      <w:r>
        <w:rPr>
          <w:rFonts w:hint="eastAsia" w:ascii="宋体" w:hAnsi="宋体" w:cs="宋体"/>
          <w:color w:val="000000"/>
          <w:highlight w:val="none"/>
        </w:rPr>
        <w:t xml:space="preserve">       </w:t>
      </w:r>
      <w:r>
        <w:rPr>
          <w:rFonts w:hint="eastAsia" w:ascii="宋体" w:hAnsi="宋体" w:cs="宋体"/>
          <w:b/>
          <w:bCs/>
          <w:color w:val="000000"/>
          <w:sz w:val="44"/>
          <w:szCs w:val="44"/>
          <w:highlight w:val="none"/>
        </w:rPr>
        <w:t xml:space="preserve">   声  明</w:t>
      </w:r>
      <w:r/>
    </w:p>
    <w:p>
      <w:pPr>
        <w:pStyle w:val="759"/>
        <w:jc w:val="both"/>
        <w:spacing w:beforeAutospacing="0" w:afterAutospacing="0" w:line="0" w:lineRule="atLeast"/>
        <w:rPr>
          <w:highlight w:val="none"/>
        </w:rPr>
      </w:pPr>
      <w:r>
        <w:rPr>
          <w:rFonts w:hint="eastAsia" w:ascii="宋体" w:hAnsi="宋体" w:cs="宋体"/>
          <w:color w:val="000000"/>
          <w:highlight w:val="none"/>
        </w:rPr>
        <w:t xml:space="preserve">我单位不存在：单位负责人为同一人或者存在直接控股、管理关系的不同供应商，同时参加同一合同项下的政府采购活动。</w:t>
      </w:r>
      <w:r/>
    </w:p>
    <w:p>
      <w:pPr>
        <w:pStyle w:val="759"/>
        <w:jc w:val="center"/>
        <w:spacing w:beforeAutospacing="0" w:afterAutospacing="0"/>
        <w:rPr>
          <w:highlight w:val="none"/>
        </w:rPr>
      </w:pPr>
      <w:r>
        <w:rPr>
          <w:highlight w:val="none"/>
        </w:rPr>
        <w:t xml:space="preserve">  </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供应商名称（公章）：</w:t>
      </w:r>
      <w:r/>
    </w:p>
    <w:p>
      <w:pPr>
        <w:spacing w:line="460" w:lineRule="exact"/>
        <w:rPr>
          <w:rFonts w:hint="eastAsia" w:ascii="宋体" w:hAnsi="宋体"/>
          <w:bCs/>
          <w:sz w:val="24"/>
          <w:highlight w:val="none"/>
        </w:rPr>
      </w:pPr>
      <w:r>
        <w:rPr>
          <w:rFonts w:hint="eastAsia" w:ascii="宋体" w:hAnsi="宋体"/>
          <w:bCs/>
          <w:sz w:val="24"/>
          <w:highlight w:val="none"/>
        </w:rPr>
        <w:t xml:space="preserve">                                授权代表签字：______________________</w:t>
      </w:r>
      <w:r/>
    </w:p>
    <w:p>
      <w:pPr>
        <w:spacing w:line="460" w:lineRule="exact"/>
        <w:rPr>
          <w:rFonts w:hint="eastAsia" w:ascii="宋体" w:hAnsi="宋体"/>
          <w:bCs/>
          <w:sz w:val="24"/>
          <w:highlight w:val="none"/>
        </w:rPr>
      </w:pPr>
      <w:r>
        <w:rPr>
          <w:rFonts w:hint="eastAsia" w:ascii="宋体" w:hAnsi="宋体"/>
          <w:bCs/>
          <w:sz w:val="24"/>
          <w:highlight w:val="none"/>
        </w:rPr>
        <w:t xml:space="preserve">                                日期：______年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bookmarkStart w:id="186" w:name="OLE_LINK53"/>
      <w:r/>
      <w:bookmarkEnd w:id="184"/>
      <w:r/>
      <w:bookmarkEnd w:id="186"/>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rFonts w:hint="eastAsia" w:ascii="黑体" w:hAnsi="宋体" w:eastAsia="黑体" w:cs="黑体"/>
          <w:i/>
          <w:sz w:val="32"/>
          <w:szCs w:val="32"/>
          <w:highlight w:val="none"/>
          <w:u w:val="single"/>
        </w:rPr>
        <w:t xml:space="preserve">六、特定资格要求的证明文件</w:t>
      </w:r>
      <w:r/>
    </w:p>
    <w:p>
      <w:pPr>
        <w:pStyle w:val="929"/>
        <w:jc w:val="both"/>
        <w:spacing w:beforeAutospacing="0" w:afterAutospacing="0" w:line="0" w:lineRule="atLeast"/>
        <w:rPr>
          <w:highlight w:val="none"/>
        </w:rPr>
      </w:pPr>
      <w:r>
        <w:rPr>
          <w:rFonts w:hint="eastAsia" w:ascii="宋体" w:hAnsi="宋体" w:cs="宋体"/>
          <w:highlight w:val="none"/>
        </w:rPr>
        <w:t xml:space="preserve">   如果本项目申请人的特定资格要求中要求提供的，必须提供。</w:t>
      </w:r>
      <w:r/>
    </w:p>
    <w:p>
      <w:pPr>
        <w:pStyle w:val="929"/>
        <w:jc w:val="center"/>
        <w:spacing w:beforeAutospacing="0" w:afterAutospacing="0"/>
        <w:rPr>
          <w:rFonts w:hint="eastAsia" w:ascii="黑体" w:hAnsi="宋体" w:eastAsia="黑体" w:cs="黑体"/>
          <w:i/>
          <w:sz w:val="32"/>
          <w:szCs w:val="32"/>
          <w:highlight w:val="none"/>
          <w:u w:val="single"/>
        </w:rPr>
      </w:pPr>
      <w:r/>
      <w:bookmarkStart w:id="187" w:name="_Toc120614284"/>
      <w:r/>
      <w:r/>
    </w:p>
    <w:p>
      <w:pPr>
        <w:pStyle w:val="929"/>
        <w:jc w:val="center"/>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both"/>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929"/>
        <w:jc w:val="center"/>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929"/>
        <w:jc w:val="center"/>
        <w:spacing w:beforeAutospacing="0" w:afterAutospacing="0"/>
        <w:rPr>
          <w:highlight w:val="none"/>
        </w:rPr>
      </w:pPr>
      <w:r>
        <w:rPr>
          <w:rFonts w:hint="eastAsia" w:ascii="黑体" w:hAnsi="宋体" w:eastAsia="黑体" w:cs="黑体"/>
          <w:i/>
          <w:sz w:val="32"/>
          <w:szCs w:val="32"/>
          <w:highlight w:val="none"/>
          <w:u w:val="single"/>
        </w:rPr>
        <w:t xml:space="preserve">七、法人授权书</w:t>
      </w:r>
      <w:r/>
    </w:p>
    <w:p>
      <w:pPr>
        <w:pStyle w:val="929"/>
        <w:ind w:firstLine="480"/>
        <w:jc w:val="both"/>
        <w:spacing w:beforeAutospacing="0" w:afterAutospacing="0"/>
        <w:tabs>
          <w:tab w:val="left" w:pos="360" w:leader="none"/>
        </w:tabs>
        <w:rPr>
          <w:highlight w:val="none"/>
        </w:rPr>
      </w:pPr>
      <w:r>
        <w:rPr>
          <w:rFonts w:ascii="Times New Roman" w:hAnsi="Times New Roman"/>
          <w:highlight w:val="none"/>
        </w:rPr>
        <w:t xml:space="preserve">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929"/>
        <w:ind w:firstLine="480"/>
        <w:jc w:val="both"/>
        <w:spacing w:beforeAutospacing="0" w:afterAutospacing="0"/>
        <w:tabs>
          <w:tab w:val="left" w:pos="360" w:leader="none"/>
        </w:tabs>
        <w:rPr>
          <w:highlight w:val="none"/>
        </w:rPr>
      </w:pPr>
      <w:r>
        <w:rPr>
          <w:rFonts w:ascii="Times New Roman" w:hAnsi="Times New Roman"/>
          <w:highlight w:val="none"/>
        </w:rPr>
        <w:t xml:space="preserve">本授权书于______年____月____日起生效，特此声明。</w:t>
      </w:r>
      <w:r/>
    </w:p>
    <w:p>
      <w:pPr>
        <w:pStyle w:val="929"/>
        <w:jc w:val="both"/>
        <w:spacing w:beforeAutospacing="0" w:afterAutospacing="0"/>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rPr>
          <w:rFonts w:hint="eastAsia" w:ascii="Times New Roman" w:hAnsi="Times New Roman"/>
          <w:highlight w:val="none"/>
          <w:u w:val="single"/>
        </w:rPr>
        <w:t xml:space="preserve">    </w:t>
      </w:r>
      <w:r>
        <w:rPr>
          <w:rFonts w:ascii="Times New Roman" w:hAnsi="Times New Roman"/>
          <w:highlight w:val="none"/>
          <w:u w:val="single"/>
        </w:rPr>
        <w:t xml:space="preserve">   </w:t>
      </w:r>
      <w:r/>
    </w:p>
    <w:p>
      <w:pPr>
        <w:pStyle w:val="929"/>
        <w:jc w:val="both"/>
        <w:spacing w:beforeAutospacing="0" w:afterAutospacing="0"/>
        <w:tabs>
          <w:tab w:val="left" w:pos="360" w:leader="none"/>
        </w:tabs>
        <w:rPr>
          <w:rFonts w:ascii="Times New Roman" w:hAnsi="Times New Roman"/>
          <w:highlight w:val="none"/>
          <w:u w:val="singl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929"/>
        <w:ind w:firstLine="480"/>
        <w:jc w:val="both"/>
        <w:spacing w:beforeAutospacing="0" w:afterAutospacing="0"/>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rPr>
          <w:rFonts w:hint="eastAsia" w:ascii="Times New Roman" w:hAnsi="Times New Roman"/>
          <w:highlight w:val="none"/>
          <w:u w:val="single"/>
        </w:rPr>
        <w:t xml:space="preserve">      </w:t>
      </w:r>
      <w:r/>
    </w:p>
    <w:p>
      <w:pPr>
        <w:pStyle w:val="929"/>
        <w:ind w:firstLine="480"/>
        <w:jc w:val="both"/>
        <w:spacing w:beforeAutospacing="0" w:afterAutospacing="0"/>
        <w:tabs>
          <w:tab w:val="left" w:pos="360" w:leader="none"/>
        </w:tabs>
        <w:rPr>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rPr>
          <w:rFonts w:hint="eastAsia" w:ascii="Times New Roman" w:hAnsi="Times New Roman"/>
          <w:highlight w:val="none"/>
          <w:u w:val="single"/>
        </w:rPr>
        <w:t xml:space="preserve">         </w:t>
      </w:r>
      <w:r/>
    </w:p>
    <w:p>
      <w:pPr>
        <w:pStyle w:val="929"/>
        <w:ind w:firstLine="480"/>
        <w:jc w:val="both"/>
        <w:spacing w:beforeAutospacing="0" w:afterAutospacing="0"/>
        <w:tabs>
          <w:tab w:val="left" w:pos="360" w:leader="none"/>
        </w:tabs>
        <w:rPr>
          <w:highlight w:val="none"/>
        </w:rPr>
      </w:pPr>
      <w:r>
        <w:rPr>
          <w:rFonts w:ascii="Times New Roman" w:hAnsi="Times New Roman"/>
          <w:highlight w:val="none"/>
        </w:rPr>
        <w:t xml:space="preserve">日期：</w:t>
      </w:r>
      <w:bookmarkStart w:id="188" w:name="_格式3__银行出具的资信证明"/>
      <w:r/>
      <w:bookmarkStart w:id="189" w:name="_Hlt26955070"/>
      <w:r/>
      <w:bookmarkStart w:id="190" w:name="_Hlt26671380"/>
      <w:r>
        <w:rPr>
          <w:rFonts w:ascii="Times New Roman" w:hAnsi="Times New Roman"/>
          <w:highlight w:val="none"/>
          <w:u w:val="single"/>
        </w:rPr>
        <w:t xml:space="preserve">                                         </w:t>
      </w:r>
      <w:r>
        <w:rPr>
          <w:rFonts w:hint="eastAsia" w:ascii="Times New Roman" w:hAnsi="Times New Roman"/>
          <w:highlight w:val="none"/>
          <w:u w:val="single"/>
        </w:rPr>
        <w:t xml:space="preserve">             </w:t>
      </w:r>
      <w:r/>
    </w:p>
    <w:p>
      <w:pPr>
        <w:pStyle w:val="929"/>
        <w:ind w:firstLine="420"/>
        <w:jc w:val="both"/>
        <w:spacing w:beforeAutospacing="0" w:afterAutospacing="0"/>
        <w:rPr>
          <w:highlight w:val="none"/>
        </w:rPr>
      </w:pPr>
      <w:r>
        <w:rPr>
          <w:highlight w:val="none"/>
        </w:rPr>
        <w:t xml:space="preserve"> </w:t>
      </w:r>
      <w:r>
        <w:rPr>
          <w:rFonts w:hint="eastAsia"/>
          <w:highlight w:val="none"/>
        </w:rPr>
        <w:t xml:space="preserve"> </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line="0" w:lineRule="atLeast"/>
        <w:rPr>
          <w:highlight w:val="none"/>
        </w:rPr>
      </w:pPr>
      <w:r>
        <w:rPr>
          <w:highlight w:val="none"/>
        </w:rPr>
        <w:t xml:space="preserve"> </w:t>
      </w:r>
      <w:r/>
    </w:p>
    <w:p>
      <w:pPr>
        <w:pStyle w:val="929"/>
        <w:ind w:firstLine="3390"/>
        <w:jc w:val="both"/>
        <w:keepLines/>
        <w:keepNext/>
        <w:spacing w:before="260" w:beforeAutospacing="0" w:after="260" w:afterAutospacing="0" w:line="415" w:lineRule="auto"/>
        <w:rPr>
          <w:highlight w:val="none"/>
        </w:rPr>
      </w:pPr>
      <w:r>
        <w:rPr>
          <w:rFonts w:hint="eastAsia" w:ascii="宋体" w:hAnsi="宋体" w:cs="宋体"/>
          <w:b/>
          <w:highlight w:val="none"/>
        </w:rPr>
        <w:br w:type="page" w:clear="all"/>
      </w:r>
      <w:r>
        <w:rPr>
          <w:rFonts w:hint="eastAsia" w:ascii="宋体" w:hAnsi="宋体" w:cs="宋体"/>
          <w:b/>
          <w:highlight w:val="none"/>
        </w:rPr>
        <w:t xml:space="preserve"> </w:t>
      </w:r>
      <w:r>
        <w:rPr>
          <w:rFonts w:hint="eastAsia" w:ascii="黑体" w:hAnsi="宋体" w:eastAsia="黑体" w:cs="黑体"/>
          <w:b/>
          <w:i/>
          <w:sz w:val="32"/>
          <w:szCs w:val="32"/>
          <w:highlight w:val="none"/>
          <w:u w:val="single"/>
        </w:rPr>
        <w:t xml:space="preserve">八、投标函</w:t>
      </w:r>
      <w:r/>
    </w:p>
    <w:p>
      <w:pPr>
        <w:pStyle w:val="929"/>
        <w:spacing w:beforeAutospacing="0" w:afterAutospacing="0" w:line="400" w:lineRule="atLeast"/>
        <w:rPr>
          <w:highlight w:val="none"/>
        </w:rPr>
      </w:pPr>
      <w:r>
        <w:rPr>
          <w:rFonts w:hint="eastAsia" w:ascii="宋体" w:hAnsi="宋体" w:cs="宋体"/>
          <w:highlight w:val="none"/>
        </w:rPr>
        <w:t xml:space="preserve">致：滨海县公安局</w:t>
      </w:r>
      <w:r/>
    </w:p>
    <w:p>
      <w:pPr>
        <w:pStyle w:val="929"/>
        <w:ind w:firstLine="480"/>
        <w:spacing w:beforeAutospacing="0" w:afterAutospacing="0" w:line="400" w:lineRule="atLeast"/>
        <w:rPr>
          <w:highlight w:val="none"/>
        </w:rPr>
      </w:pPr>
      <w:r>
        <w:rPr>
          <w:rFonts w:hint="eastAsia" w:ascii="宋体" w:hAnsi="宋体" w:cs="宋体"/>
          <w:highlight w:val="none"/>
        </w:rPr>
        <w:t xml:space="preserve">根据贵方的JSZC-***</w:t>
      </w:r>
      <w:r>
        <w:rPr>
          <w:rFonts w:hint="eastAsia" w:ascii="宋体" w:hAnsi="宋体" w:cs="宋体"/>
          <w:b/>
          <w:sz w:val="36"/>
          <w:szCs w:val="36"/>
          <w:highlight w:val="none"/>
          <w:u w:val="single"/>
        </w:rPr>
        <w:t xml:space="preserve">            </w:t>
      </w:r>
      <w:r>
        <w:rPr>
          <w:rFonts w:hint="eastAsia" w:ascii="宋体" w:hAnsi="宋体" w:cs="宋体"/>
          <w:highlight w:val="none"/>
        </w:rPr>
        <w:t xml:space="preserve">号招标文件，正式授权下述签字人_________________(姓名)代表我方______________（投标人的名称），全权处理本次项目投标的有关事宜。</w:t>
      </w:r>
      <w:r/>
    </w:p>
    <w:p>
      <w:pPr>
        <w:pStyle w:val="929"/>
        <w:ind w:firstLine="480"/>
        <w:spacing w:beforeAutospacing="0" w:afterAutospacing="0" w:line="400" w:lineRule="atLeast"/>
        <w:rPr>
          <w:highlight w:val="none"/>
        </w:rPr>
      </w:pPr>
      <w:r>
        <w:rPr>
          <w:rFonts w:hint="eastAsia" w:ascii="宋体" w:hAnsi="宋体" w:cs="宋体"/>
          <w:highlight w:val="none"/>
        </w:rPr>
        <w:t xml:space="preserve">据此函，__________签字人兹宣布同意如下：</w:t>
      </w:r>
      <w:r/>
    </w:p>
    <w:p>
      <w:pPr>
        <w:pStyle w:val="929"/>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1.</w:t>
      </w:r>
      <w:r>
        <w:rPr>
          <w:rFonts w:hint="eastAsia" w:ascii="宋体" w:hAnsi="宋体"/>
          <w:highlight w:val="none"/>
        </w:rPr>
        <w:t xml:space="preserve">我单位此次</w:t>
      </w:r>
      <w:r>
        <w:rPr>
          <w:rFonts w:hint="eastAsia" w:ascii="宋体" w:hAnsi="宋体" w:cs="宋体"/>
          <w:highlight w:val="none"/>
        </w:rPr>
        <w:t xml:space="preserve">供货期限（含安装调试工期）：</w:t>
      </w:r>
      <w:r>
        <w:rPr>
          <w:rFonts w:hint="eastAsia" w:ascii="宋体" w:hAnsi="宋体" w:cs="宋体"/>
          <w:b/>
          <w:highlight w:val="none"/>
          <w:u w:val="single"/>
        </w:rPr>
        <w:t xml:space="preserve">   </w:t>
      </w:r>
      <w:r>
        <w:rPr>
          <w:rFonts w:hint="eastAsia" w:ascii="宋体" w:hAnsi="宋体" w:cs="宋体"/>
          <w:b/>
          <w:highlight w:val="none"/>
        </w:rPr>
        <w:t xml:space="preserve">日历天</w:t>
      </w:r>
      <w:r>
        <w:rPr>
          <w:rFonts w:hint="eastAsia" w:ascii="宋体" w:hAnsi="宋体" w:cs="宋体"/>
          <w:highlight w:val="none"/>
        </w:rPr>
        <w:t xml:space="preserve">；</w:t>
      </w:r>
      <w:r>
        <w:rPr>
          <w:rFonts w:hint="eastAsia" w:ascii="宋体" w:hAnsi="宋体" w:cs="宋体"/>
          <w:highlight w:val="none"/>
          <w:lang w:val="en-US" w:eastAsia="zh-CN"/>
        </w:rPr>
        <w:t xml:space="preserve">免费</w:t>
      </w:r>
      <w:r>
        <w:rPr>
          <w:rFonts w:hint="eastAsia" w:ascii="宋体" w:hAnsi="宋体" w:cs="宋体"/>
          <w:highlight w:val="none"/>
        </w:rPr>
        <w:t xml:space="preserve">质量保修</w:t>
      </w:r>
      <w:r>
        <w:rPr>
          <w:rFonts w:hint="eastAsia" w:ascii="宋体" w:hAnsi="宋体" w:cs="宋体"/>
          <w:b w:val="0"/>
          <w:bCs w:val="0"/>
          <w:highlight w:val="none"/>
        </w:rPr>
        <w:t xml:space="preserve">期</w:t>
      </w:r>
      <w:r>
        <w:rPr>
          <w:rFonts w:hint="eastAsia" w:ascii="宋体" w:hAnsi="宋体" w:cs="宋体"/>
          <w:b w:val="0"/>
          <w:bCs w:val="0"/>
          <w:highlight w:val="none"/>
          <w:u w:val="single"/>
        </w:rPr>
        <w:t xml:space="preserve">    </w:t>
      </w:r>
      <w:r>
        <w:rPr>
          <w:rFonts w:hint="eastAsia" w:ascii="宋体" w:hAnsi="宋体"/>
          <w:b w:val="0"/>
          <w:bCs w:val="0"/>
          <w:sz w:val="24"/>
          <w:highlight w:val="none"/>
          <w:u w:val="singl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rPr>
        <w:t xml:space="preserve">年</w:t>
      </w:r>
      <w:r>
        <w:rPr>
          <w:rFonts w:hint="eastAsia" w:ascii="宋体" w:hAnsi="宋体"/>
          <w:sz w:val="24"/>
          <w:highlight w:val="none"/>
          <w:u w:val="none"/>
          <w:lang w:eastAsia="zh-CN"/>
        </w:rPr>
        <w:t xml:space="preserve">（自项目竣工验收合格之日起计算）</w:t>
      </w:r>
      <w:r>
        <w:rPr>
          <w:rFonts w:hint="eastAsia" w:ascii="宋体" w:hAnsi="宋体" w:cs="宋体"/>
          <w:highlight w:val="none"/>
        </w:rPr>
        <w:t xml:space="preserve">。质量标准：</w:t>
      </w:r>
      <w:r>
        <w:rPr>
          <w:rFonts w:hint="eastAsia" w:ascii="宋体" w:hAnsi="宋体" w:cs="宋体"/>
          <w:highlight w:val="none"/>
          <w:u w:val="single"/>
        </w:rPr>
        <w:t xml:space="preserve">合格</w:t>
      </w:r>
      <w:r>
        <w:rPr>
          <w:rFonts w:hint="eastAsia" w:ascii="宋体" w:hAnsi="宋体" w:cs="宋体"/>
          <w:highlight w:val="none"/>
        </w:rPr>
        <w:t xml:space="preserve">。</w:t>
      </w:r>
      <w:r/>
    </w:p>
    <w:p>
      <w:pPr>
        <w:pStyle w:val="929"/>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2.</w:t>
      </w:r>
      <w:r>
        <w:rPr>
          <w:rFonts w:hint="eastAsia" w:ascii="宋体" w:hAnsi="宋体"/>
          <w:szCs w:val="21"/>
          <w:highlight w:val="none"/>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29"/>
        <w:ind w:firstLine="480"/>
        <w:spacing w:beforeAutospacing="0" w:afterAutospacing="0" w:line="400" w:lineRule="atLeast"/>
        <w:rPr>
          <w:highlight w:val="none"/>
        </w:rPr>
      </w:pPr>
      <w:r>
        <w:rPr>
          <w:rFonts w:hint="eastAsia" w:ascii="宋体" w:hAnsi="宋体" w:cs="宋体"/>
          <w:highlight w:val="none"/>
        </w:rPr>
        <w:t xml:space="preserve">3.按招标文件规定的各项要求，向买方提供所需货物（包含与货物相关的服务）。</w:t>
      </w:r>
      <w:r/>
    </w:p>
    <w:p>
      <w:pPr>
        <w:pStyle w:val="929"/>
        <w:ind w:firstLine="480"/>
        <w:spacing w:beforeAutospacing="0" w:afterAutospacing="0" w:line="400" w:lineRule="atLeast"/>
        <w:rPr>
          <w:highlight w:val="none"/>
        </w:rPr>
      </w:pPr>
      <w:r>
        <w:rPr>
          <w:rFonts w:hint="eastAsia" w:ascii="宋体" w:hAnsi="宋体" w:cs="宋体"/>
          <w:highlight w:val="none"/>
        </w:rPr>
        <w:t xml:space="preserve">4.我们完全理解贵方不一定将合同授予最低报价的投标人。</w:t>
      </w:r>
      <w:r/>
    </w:p>
    <w:p>
      <w:pPr>
        <w:pStyle w:val="929"/>
        <w:ind w:firstLine="480"/>
        <w:spacing w:beforeAutospacing="0" w:afterAutospacing="0" w:line="400" w:lineRule="atLeast"/>
        <w:rPr>
          <w:highlight w:val="none"/>
        </w:rPr>
      </w:pPr>
      <w:r>
        <w:rPr>
          <w:rFonts w:hint="eastAsia" w:ascii="宋体" w:hAnsi="宋体" w:cs="宋体"/>
          <w:highlight w:val="none"/>
        </w:rPr>
        <w:t xml:space="preserve">5.我们已详细审核全部招标文件及其有效补充文件，我们知道必须放弃提出含糊不清或误解问题的权利。</w:t>
      </w:r>
      <w:r/>
    </w:p>
    <w:p>
      <w:pPr>
        <w:pStyle w:val="929"/>
        <w:ind w:firstLine="480"/>
        <w:spacing w:beforeAutospacing="0" w:afterAutospacing="0" w:line="400" w:lineRule="atLeast"/>
        <w:rPr>
          <w:highlight w:val="none"/>
        </w:rPr>
      </w:pPr>
      <w:r>
        <w:rPr>
          <w:rFonts w:hint="eastAsia" w:ascii="宋体" w:hAnsi="宋体" w:cs="宋体"/>
          <w:highlight w:val="none"/>
        </w:rPr>
        <w:t xml:space="preserve">6.我们同意从规定的开标日期起遵循本投标文件，并在规定的投标有效期期满之前均具有约束力。</w:t>
      </w:r>
      <w:r/>
    </w:p>
    <w:p>
      <w:pPr>
        <w:pStyle w:val="929"/>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7.如果在开标后规定的投标有效期内撤回投标或中标后拒绝签订合同，则按照国家相关法律法规受到相应处罚。</w:t>
      </w:r>
      <w:r/>
    </w:p>
    <w:p>
      <w:pPr>
        <w:pStyle w:val="929"/>
        <w:ind w:firstLine="480"/>
        <w:spacing w:beforeAutospacing="0" w:afterAutospacing="0" w:line="400" w:lineRule="atLeast"/>
        <w:rPr>
          <w:highlight w:val="none"/>
        </w:rPr>
      </w:pPr>
      <w:r>
        <w:rPr>
          <w:rFonts w:hint="eastAsia" w:ascii="宋体" w:hAnsi="宋体" w:cs="宋体"/>
          <w:highlight w:val="none"/>
        </w:rPr>
        <w:t xml:space="preserve">8.同意向贵方提供贵方可能另外要求的与投标有关的任何证据或资料，并保证我方已提供和将要提供的文件是真实的、准确的。</w:t>
      </w:r>
      <w:r/>
    </w:p>
    <w:p>
      <w:pPr>
        <w:pStyle w:val="929"/>
        <w:ind w:firstLine="480"/>
        <w:spacing w:beforeAutospacing="0" w:afterAutospacing="0" w:line="400" w:lineRule="atLeast"/>
        <w:rPr>
          <w:highlight w:val="none"/>
        </w:rPr>
      </w:pPr>
      <w:r>
        <w:rPr>
          <w:rFonts w:hint="eastAsia" w:ascii="宋体" w:hAnsi="宋体" w:cs="宋体"/>
          <w:highlight w:val="none"/>
        </w:rPr>
        <w:t xml:space="preserve">9.一旦我方中标,我方将根据招标文件的规定，严格履行合同的责任和义务,并保证在招标文件规定的时间完成项目，交付买方验收、使用。</w:t>
      </w:r>
      <w:r/>
    </w:p>
    <w:p>
      <w:pPr>
        <w:pStyle w:val="929"/>
        <w:ind w:left="425"/>
        <w:spacing w:beforeAutospacing="0" w:afterAutospacing="0" w:line="400" w:lineRule="atLeast"/>
        <w:rPr>
          <w:highlight w:val="none"/>
        </w:rPr>
      </w:pPr>
      <w:r>
        <w:rPr>
          <w:rFonts w:hint="eastAsia" w:ascii="宋体" w:hAnsi="宋体" w:cs="宋体"/>
          <w:highlight w:val="none"/>
        </w:rPr>
        <w:t xml:space="preserve">10.与本投标有关的正式通讯地址为：</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地          址：</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邮          编：</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电          话：</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传          真：</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投标人开户行：</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账          号： </w:t>
      </w:r>
      <w:r/>
    </w:p>
    <w:p>
      <w:pPr>
        <w:pStyle w:val="929"/>
        <w:ind w:left="420" w:firstLine="480"/>
        <w:spacing w:beforeAutospacing="0" w:afterAutospacing="0" w:line="0" w:lineRule="atLeast"/>
        <w:rPr>
          <w:highlight w:val="none"/>
        </w:rPr>
      </w:pPr>
      <w:r>
        <w:rPr>
          <w:rFonts w:hint="eastAsia" w:ascii="宋体" w:hAnsi="宋体" w:cs="宋体"/>
          <w:highlight w:val="none"/>
        </w:rPr>
        <w:t xml:space="preserve">日           期：________年____月____日</w:t>
      </w:r>
      <w:r/>
    </w:p>
    <w:p>
      <w:pPr>
        <w:pStyle w:val="929"/>
        <w:ind w:firstLine="240"/>
        <w:jc w:val="center"/>
        <w:spacing w:beforeAutospacing="0" w:afterAutospacing="0" w:line="0" w:lineRule="atLeast"/>
        <w:rPr>
          <w:highlight w:val="none"/>
        </w:rPr>
      </w:pPr>
      <w:r>
        <w:rPr>
          <w:highlight w:val="none"/>
        </w:rPr>
        <w:t xml:space="preserve">  </w:t>
      </w:r>
      <w:r/>
    </w:p>
    <w:p>
      <w:pPr>
        <w:pStyle w:val="929"/>
        <w:ind w:firstLine="240"/>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rFonts w:hint="eastAsia" w:ascii="黑体" w:hAnsi="宋体" w:eastAsia="黑体" w:cs="黑体"/>
          <w:b/>
          <w:sz w:val="32"/>
          <w:szCs w:val="32"/>
          <w:highlight w:val="none"/>
        </w:rPr>
        <w:t xml:space="preserve">九、中小企业声明函（货物）</w:t>
      </w:r>
      <w:r/>
    </w:p>
    <w:p>
      <w:pPr>
        <w:ind w:firstLine="480"/>
        <w:spacing w:line="500" w:lineRule="exact"/>
        <w:rPr>
          <w:sz w:val="24"/>
          <w:highlight w:val="none"/>
        </w:rPr>
      </w:pPr>
      <w:r>
        <w:rPr>
          <w:sz w:val="24"/>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本公司（联合体）郑重声明，根据《政府采购促进中小企业发展管理办法》(财库〔2020〕46号)的规定，本公司（联合体）参加滨海县政府采购人组织的</w:t>
      </w:r>
      <w:r>
        <w:rPr>
          <w:rFonts w:hint="eastAsia"/>
          <w:sz w:val="24"/>
          <w:highlight w:val="none"/>
          <w:u w:val="single"/>
        </w:rPr>
        <w:t xml:space="preserve">（单位名称)</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（项目名称）       </w:t>
      </w:r>
      <w:r>
        <w:rPr>
          <w:rFonts w:hint="eastAsia"/>
          <w:sz w:val="24"/>
          <w:highlight w:val="none"/>
        </w:rPr>
        <w:t xml:space="preserve">的采购活动，提供的货物全部由符合政策要求的中小企业制造。相关企业（含联合体中的中小企业、签订分包意向协议的中小企业）的具体情况如下：</w:t>
      </w:r>
      <w:r/>
    </w:p>
    <w:p>
      <w:pPr>
        <w:pStyle w:val="942"/>
        <w:ind w:firstLine="363"/>
        <w:jc w:val="both"/>
        <w:spacing w:before="0" w:beforeAutospacing="0" w:after="0" w:afterAutospacing="0" w:line="500" w:lineRule="atLeast"/>
        <w:rPr>
          <w:rFonts w:hint="eastAsia"/>
          <w:highlight w:val="none"/>
        </w:rPr>
      </w:pPr>
      <w:r>
        <w:rPr>
          <w:rFonts w:hint="eastAsia"/>
          <w:highlight w:val="none"/>
        </w:rPr>
        <w:t xml:space="preserve">1.</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       </w:t>
      </w:r>
      <w:r>
        <w:rPr>
          <w:rFonts w:hint="eastAsia"/>
          <w:highlight w:val="none"/>
        </w:rPr>
        <w:t xml:space="preserve">行业；制造商为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（小型企业、微型企业）；</w:t>
      </w:r>
      <w:r/>
    </w:p>
    <w:p>
      <w:pPr>
        <w:pStyle w:val="942"/>
        <w:ind w:firstLine="363"/>
        <w:jc w:val="both"/>
        <w:spacing w:before="0" w:beforeAutospacing="0" w:after="0" w:afterAutospacing="0" w:line="500" w:lineRule="atLeast"/>
        <w:rPr>
          <w:rFonts w:hint="eastAsia"/>
          <w:highlight w:val="none"/>
        </w:rPr>
      </w:pPr>
      <w:r>
        <w:rPr>
          <w:rFonts w:hint="eastAsia"/>
          <w:highlight w:val="none"/>
        </w:rPr>
        <w:t xml:space="preserve">2.</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       </w:t>
      </w:r>
      <w:r>
        <w:rPr>
          <w:rFonts w:hint="eastAsia"/>
          <w:highlight w:val="none"/>
        </w:rPr>
        <w:t xml:space="preserve">行业；制造商为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（小型企业、微型企业）；</w:t>
      </w:r>
      <w:r/>
    </w:p>
    <w:p>
      <w:pPr>
        <w:pStyle w:val="942"/>
        <w:ind w:firstLine="363"/>
        <w:jc w:val="both"/>
        <w:spacing w:beforeAutospacing="0" w:afterAutospacing="0" w:line="500" w:lineRule="atLeast"/>
        <w:rPr>
          <w:rFonts w:hint="eastAsia"/>
          <w:highlight w:val="none"/>
        </w:rPr>
      </w:pPr>
      <w:r>
        <w:rPr>
          <w:rFonts w:hint="eastAsia"/>
          <w:highlight w:val="none"/>
        </w:rPr>
        <w:t xml:space="preserve">……</w:t>
      </w:r>
      <w:r/>
    </w:p>
    <w:p>
      <w:pPr>
        <w:pStyle w:val="929"/>
        <w:ind w:firstLine="360"/>
        <w:jc w:val="both"/>
        <w:spacing w:beforeAutospacing="0" w:afterAutospacing="0"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pStyle w:val="929"/>
        <w:ind w:firstLine="360"/>
        <w:jc w:val="both"/>
        <w:spacing w:beforeAutospacing="0" w:afterAutospacing="0" w:line="360" w:lineRule="auto"/>
        <w:rPr>
          <w:highlight w:val="none"/>
        </w:rPr>
      </w:pPr>
      <w:r>
        <w:rPr>
          <w:rFonts w:hint="eastAsia"/>
          <w:highlight w:val="none"/>
        </w:rPr>
        <w:t xml:space="preserve">本企业对上述声明内容的真实性负责。如有虚假，将依法承担相应责任</w:t>
      </w:r>
      <w:r/>
    </w:p>
    <w:p>
      <w:pPr>
        <w:pStyle w:val="929"/>
        <w:ind w:right="720"/>
        <w:jc w:val="both"/>
        <w:spacing w:beforeAutospacing="0" w:afterAutospacing="0" w:line="360" w:lineRule="auto"/>
        <w:rPr>
          <w:highlight w:val="none"/>
        </w:rPr>
      </w:pPr>
      <w:r>
        <w:rPr>
          <w:highlight w:val="none"/>
        </w:rPr>
        <w:t xml:space="preserve"> </w:t>
      </w:r>
      <w:r/>
    </w:p>
    <w:p>
      <w:pPr>
        <w:pStyle w:val="929"/>
        <w:ind w:right="180" w:firstLine="360"/>
        <w:jc w:val="right"/>
        <w:spacing w:beforeAutospacing="0" w:afterAutospacing="0" w:line="360" w:lineRule="auto"/>
        <w:rPr>
          <w:highlight w:val="none"/>
        </w:rPr>
      </w:pPr>
      <w:r>
        <w:rPr>
          <w:rFonts w:hint="eastAsia"/>
          <w:highlight w:val="none"/>
        </w:rPr>
        <w:t xml:space="preserve">企业名称（加盖CA电子公章）：</w:t>
      </w:r>
      <w:r/>
    </w:p>
    <w:p>
      <w:pPr>
        <w:pStyle w:val="929"/>
        <w:ind w:right="480" w:firstLine="5400"/>
        <w:jc w:val="both"/>
        <w:spacing w:beforeAutospacing="0" w:afterAutospacing="0" w:line="360" w:lineRule="auto"/>
        <w:rPr>
          <w:highlight w:val="none"/>
        </w:rPr>
      </w:pPr>
      <w:r>
        <w:rPr>
          <w:rFonts w:hint="eastAsia"/>
          <w:highlight w:val="none"/>
        </w:rPr>
        <w:t xml:space="preserve">日  期：</w:t>
      </w:r>
      <w:r/>
    </w:p>
    <w:p>
      <w:pPr>
        <w:pStyle w:val="929"/>
        <w:ind w:firstLine="360"/>
        <w:jc w:val="both"/>
        <w:spacing w:beforeAutospacing="0" w:afterAutospacing="0" w:line="360" w:lineRule="auto"/>
        <w:rPr>
          <w:highlight w:val="none"/>
        </w:rPr>
      </w:pPr>
      <w:r>
        <w:rPr>
          <w:highlight w:val="none"/>
        </w:rPr>
        <w:t xml:space="preserve"> </w:t>
      </w:r>
      <w:r/>
    </w:p>
    <w:p>
      <w:pPr>
        <w:pStyle w:val="929"/>
        <w:ind w:firstLine="480"/>
        <w:jc w:val="both"/>
        <w:spacing w:beforeAutospacing="0" w:afterAutospacing="0" w:line="360" w:lineRule="auto"/>
        <w:rPr>
          <w:highlight w:val="none"/>
        </w:rPr>
      </w:pPr>
      <w:r>
        <w:rPr>
          <w:rFonts w:hint="eastAsia"/>
          <w:highlight w:val="none"/>
        </w:rPr>
        <w:t xml:space="preserve">备注1：从业人员、营业收入、资产总额填报上一年度数据，无上一年度数据的新成立企业可不填报。</w:t>
      </w:r>
      <w:r/>
    </w:p>
    <w:p>
      <w:pPr>
        <w:pStyle w:val="929"/>
        <w:ind w:firstLine="480"/>
        <w:jc w:val="both"/>
        <w:spacing w:beforeAutospacing="0" w:afterAutospacing="0" w:line="360" w:lineRule="auto"/>
        <w:rPr>
          <w:highlight w:val="none"/>
        </w:rPr>
      </w:pPr>
      <w:r>
        <w:rPr>
          <w:rFonts w:hint="eastAsia"/>
          <w:highlight w:val="none"/>
        </w:rPr>
        <w:t xml:space="preserve">备注2：供应商如不提供此声明函，价格将不做相应扣除（如项目全面面向中小企业，则资格审查不通过）。</w:t>
      </w:r>
      <w:r/>
    </w:p>
    <w:p>
      <w:pPr>
        <w:pStyle w:val="929"/>
        <w:jc w:val="center"/>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929"/>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929"/>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929"/>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929"/>
        <w:jc w:val="center"/>
        <w:spacing w:beforeAutospacing="0" w:afterAutospacing="0" w:line="0" w:lineRule="atLeast"/>
        <w:rPr>
          <w:highlight w:val="none"/>
        </w:rPr>
      </w:pPr>
      <w:r>
        <w:rPr>
          <w:rFonts w:hint="eastAsia" w:ascii="黑体" w:hAnsi="宋体" w:eastAsia="黑体" w:cs="黑体"/>
          <w:b/>
          <w:sz w:val="32"/>
          <w:szCs w:val="32"/>
          <w:highlight w:val="none"/>
        </w:rPr>
        <w:t xml:space="preserve"> 十、残疾人福利性单位声明函</w:t>
      </w:r>
      <w:r/>
    </w:p>
    <w:p>
      <w:pPr>
        <w:pStyle w:val="929"/>
        <w:ind w:firstLine="480"/>
        <w:jc w:val="both"/>
        <w:spacing w:beforeAutospacing="0" w:afterAutospacing="0" w:line="0" w:lineRule="atLeast"/>
        <w:rPr>
          <w:highlight w:val="none"/>
        </w:rPr>
      </w:pPr>
      <w:r>
        <w:rPr>
          <w:rFonts w:hint="eastAsia" w:ascii="宋体" w:hAnsi="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highlight w:val="none"/>
          <w:u w:val="single"/>
        </w:rPr>
        <w:t xml:space="preserve">       </w:t>
      </w:r>
      <w:r>
        <w:rPr>
          <w:rFonts w:hint="eastAsia" w:ascii="宋体" w:hAnsi="宋体" w:cs="宋体"/>
          <w:highlight w:val="none"/>
        </w:rPr>
        <w:t xml:space="preserve">项目采购活动提供本单位制造的货物，或者提供其他残疾人福利性单位制造的货物（不包括使用非残疾人福利性单位注册商标的货物）。</w:t>
      </w:r>
      <w:r/>
    </w:p>
    <w:p>
      <w:pPr>
        <w:pStyle w:val="929"/>
        <w:ind w:firstLine="480"/>
        <w:jc w:val="both"/>
        <w:spacing w:beforeAutospacing="0" w:afterAutospacing="0" w:line="0" w:lineRule="atLeast"/>
        <w:rPr>
          <w:highlight w:val="none"/>
        </w:rPr>
      </w:pPr>
      <w:r>
        <w:rPr>
          <w:rFonts w:hint="eastAsia" w:ascii="宋体" w:hAnsi="宋体" w:cs="宋体"/>
          <w:highlight w:val="none"/>
        </w:rPr>
        <w:t xml:space="preserve">本单位对上述声明的真实性负责。如有虚假，将依法承担相应责任。</w:t>
      </w:r>
      <w:r/>
    </w:p>
    <w:p>
      <w:pPr>
        <w:pStyle w:val="929"/>
        <w:ind w:firstLine="480"/>
        <w:jc w:val="both"/>
        <w:spacing w:beforeAutospacing="0" w:afterAutospacing="0" w:line="0" w:lineRule="atLeast"/>
        <w:rPr>
          <w:highlight w:val="none"/>
        </w:rPr>
      </w:pPr>
      <w:r>
        <w:rPr>
          <w:highlight w:val="none"/>
        </w:rPr>
        <w:t xml:space="preserve"> </w:t>
      </w:r>
      <w:r/>
    </w:p>
    <w:p>
      <w:pPr>
        <w:pStyle w:val="929"/>
        <w:ind w:firstLine="480"/>
        <w:jc w:val="both"/>
        <w:spacing w:beforeAutospacing="0" w:afterAutospacing="0" w:line="0" w:lineRule="atLeast"/>
        <w:rPr>
          <w:rFonts w:hint="eastAsia" w:ascii="宋体" w:hAnsi="宋体" w:cs="宋体"/>
          <w:highlight w:val="none"/>
        </w:rPr>
      </w:pPr>
      <w:r>
        <w:rPr>
          <w:rFonts w:hint="eastAsia" w:ascii="宋体" w:hAnsi="宋体" w:cs="宋体"/>
          <w:highlight w:val="none"/>
        </w:rPr>
        <w:t xml:space="preserve">备注：1、供应商如不提供此声明函，价格将不做相应扣除（如项目全面面向中小企业，则资格审查不通过）。</w:t>
      </w:r>
      <w:r/>
    </w:p>
    <w:p>
      <w:pPr>
        <w:pStyle w:val="929"/>
        <w:ind w:firstLine="480"/>
        <w:jc w:val="both"/>
        <w:spacing w:beforeAutospacing="0" w:afterAutospacing="0" w:line="0" w:lineRule="atLeast"/>
        <w:rPr>
          <w:highlight w:val="none"/>
        </w:rPr>
      </w:pPr>
      <w:r>
        <w:rPr>
          <w:rFonts w:hint="eastAsia" w:ascii="宋体" w:hAnsi="宋体" w:cs="宋体"/>
          <w:highlight w:val="none"/>
        </w:rPr>
        <w:t xml:space="preserve">2、中标供应商为残疾人福利单位的，此声明函将随中标结果同时公告，接受社会监督</w:t>
      </w:r>
      <w:r/>
    </w:p>
    <w:p>
      <w:pPr>
        <w:pStyle w:val="929"/>
        <w:ind w:firstLine="624"/>
        <w:jc w:val="both"/>
        <w:spacing w:beforeAutospacing="0" w:afterAutospacing="0" w:line="0" w:lineRule="atLeast"/>
        <w:rPr>
          <w:highlight w:val="none"/>
        </w:rPr>
      </w:pPr>
      <w:r>
        <w:rPr>
          <w:highlight w:val="none"/>
        </w:rPr>
        <w:t xml:space="preserve"> </w:t>
      </w:r>
      <w:r/>
    </w:p>
    <w:p>
      <w:pPr>
        <w:pStyle w:val="929"/>
        <w:ind w:right="1560" w:firstLine="624"/>
        <w:jc w:val="center"/>
        <w:spacing w:beforeAutospacing="0" w:afterAutospacing="0" w:line="0" w:lineRule="atLeast"/>
        <w:tabs>
          <w:tab w:val="left" w:pos="4864" w:leader="none"/>
        </w:tabs>
        <w:rPr>
          <w:highlight w:val="none"/>
        </w:rPr>
      </w:pPr>
      <w:r>
        <w:rPr>
          <w:rFonts w:ascii="仿宋_GB2312" w:eastAsia="仿宋_GB2312" w:cs="仿宋_GB2312"/>
          <w:sz w:val="30"/>
          <w:szCs w:val="30"/>
          <w:highlight w:val="none"/>
        </w:rPr>
        <w:t xml:space="preserve">             </w:t>
      </w:r>
      <w:r>
        <w:rPr>
          <w:rFonts w:hint="eastAsia" w:ascii="宋体" w:hAnsi="宋体" w:cs="宋体"/>
          <w:highlight w:val="none"/>
        </w:rPr>
        <w:t xml:space="preserve">       供应商全称（加盖CA电子公章）：</w:t>
      </w:r>
      <w:r/>
    </w:p>
    <w:p>
      <w:pPr>
        <w:pStyle w:val="929"/>
        <w:ind w:right="1560" w:firstLine="480"/>
        <w:jc w:val="center"/>
        <w:spacing w:beforeAutospacing="0" w:afterAutospacing="0" w:line="0" w:lineRule="atLeast"/>
        <w:tabs>
          <w:tab w:val="left" w:pos="4864" w:leader="none"/>
        </w:tabs>
        <w:rPr>
          <w:highlight w:val="none"/>
        </w:rPr>
      </w:pPr>
      <w:r>
        <w:rPr>
          <w:rFonts w:hint="eastAsia" w:ascii="宋体" w:hAnsi="宋体" w:cs="宋体"/>
          <w:highlight w:val="none"/>
        </w:rPr>
        <w:t xml:space="preserve">        日  期：</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t xml:space="preserve"> </w:t>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pStyle w:val="929"/>
        <w:jc w:val="center"/>
        <w:spacing w:beforeAutospacing="0" w:afterAutospacing="0" w:line="0" w:lineRule="atLeast"/>
        <w:rPr>
          <w:highlight w:val="none"/>
        </w:rPr>
      </w:pPr>
      <w:r>
        <w:rPr>
          <w:highlight w:val="none"/>
        </w:rPr>
      </w:r>
      <w:r/>
    </w:p>
    <w:p>
      <w:pPr>
        <w:jc w:val="center"/>
        <w:rPr>
          <w:sz w:val="24"/>
          <w:highlight w:val="none"/>
        </w:rPr>
      </w:pPr>
      <w:r>
        <w:rPr>
          <w:rFonts w:ascii="黑体" w:hAnsi="宋体" w:eastAsia="黑体" w:cs="黑体"/>
          <w:b/>
          <w:bCs/>
          <w:sz w:val="32"/>
          <w:szCs w:val="32"/>
          <w:highlight w:val="none"/>
        </w:rPr>
        <w:t xml:space="preserve">十一、关于符合本国产品标准的声明函</w:t>
      </w:r>
      <w:r/>
    </w:p>
    <w:p>
      <w:pPr>
        <w:ind w:firstLine="420"/>
        <w:rPr>
          <w:sz w:val="24"/>
          <w:highlight w:val="none"/>
        </w:rPr>
      </w:pPr>
      <w:r>
        <w:rPr>
          <w:rFonts w:ascii="Arial" w:hAnsi="Arial" w:cs="Arial"/>
          <w:sz w:val="24"/>
          <w:highlight w:val="none"/>
        </w:rPr>
        <w:t xml:space="preserve"> </w:t>
      </w:r>
      <w:r/>
    </w:p>
    <w:p>
      <w:pPr>
        <w:ind w:firstLine="420"/>
        <w:rPr>
          <w:sz w:val="24"/>
          <w:highlight w:val="none"/>
        </w:rP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Pr>
      <w:r>
        <w:rPr>
          <w:rFonts w:ascii="宋体" w:hAnsi="宋体" w:cs="宋体"/>
          <w:sz w:val="24"/>
          <w:highlight w:val="none"/>
          <w:shd w:val="clear" w:color="auto" w:fill="ffffff"/>
        </w:rPr>
        <w:t xml:space="preserve">1.</w:t>
      </w:r>
      <w:r>
        <w:rPr>
          <w:rFonts w:ascii="宋体" w:hAnsi="宋体" w:cs="宋体"/>
          <w:sz w:val="24"/>
          <w:highlight w:val="none"/>
          <w:u w:val="single"/>
          <w:shd w:val="clear" w:color="auto" w:fill="ffffff"/>
        </w:rPr>
        <w:t xml:space="preserve">（产品名称1）</w:t>
      </w:r>
      <w:r>
        <w:rPr>
          <w:rFonts w:ascii="宋体" w:hAnsi="宋体" w:cs="宋体"/>
          <w:sz w:val="24"/>
          <w:highlight w:val="none"/>
          <w:shd w:val="clear" w:color="auto" w:fill="ffffff"/>
          <w:vertAlign w:val="superscript"/>
        </w:rPr>
        <w:t xml:space="preserve">1</w:t>
      </w:r>
      <w:r>
        <w:rPr>
          <w:rFonts w:ascii="宋体" w:hAnsi="宋体" w:cs="宋体"/>
          <w:sz w:val="24"/>
          <w:highlight w:val="none"/>
          <w:shd w:val="clear" w:color="auto" w:fill="ffffff"/>
        </w:rPr>
        <w:t xml:space="preserve">，生产厂为</w:t>
      </w:r>
      <w:r>
        <w:rPr>
          <w:rFonts w:ascii="宋体" w:hAnsi="宋体" w:cs="宋体"/>
          <w:sz w:val="24"/>
          <w:highlight w:val="none"/>
          <w:u w:val="single"/>
          <w:shd w:val="clear" w:color="auto" w:fill="ffffff"/>
        </w:rPr>
        <w:t xml:space="preserve">（厂名）</w:t>
      </w:r>
      <w:r>
        <w:rPr>
          <w:rFonts w:ascii="宋体" w:hAnsi="宋体" w:cs="宋体"/>
          <w:sz w:val="24"/>
          <w:highlight w:val="none"/>
          <w:shd w:val="clear" w:color="auto" w:fill="ffffff"/>
          <w:vertAlign w:val="superscript"/>
        </w:rPr>
        <w:t xml:space="preserve">2</w:t>
      </w:r>
      <w:r>
        <w:rPr>
          <w:rFonts w:ascii="宋体" w:hAnsi="宋体" w:cs="宋体"/>
          <w:sz w:val="24"/>
          <w:highlight w:val="none"/>
          <w:shd w:val="clear" w:color="auto" w:fill="ffffff"/>
        </w:rPr>
        <w:t xml:space="preserve">，厂址为</w:t>
      </w:r>
      <w:r>
        <w:rPr>
          <w:rFonts w:ascii="宋体" w:hAnsi="宋体" w:cs="宋体"/>
          <w:sz w:val="24"/>
          <w:highlight w:val="none"/>
          <w:u w:val="single"/>
          <w:shd w:val="clear" w:color="auto" w:fill="ffffff"/>
        </w:rPr>
        <w:t xml:space="preserve">（生产厂址）</w:t>
      </w:r>
      <w:r>
        <w:rPr>
          <w:rFonts w:ascii="宋体" w:hAnsi="宋体" w:cs="宋体"/>
          <w:sz w:val="24"/>
          <w:highlight w:val="none"/>
          <w:shd w:val="clear" w:color="auto" w:fill="ffffff"/>
        </w:rPr>
        <w:t xml:space="preserve">。</w:t>
      </w:r>
      <w:r>
        <w:rPr>
          <w:rFonts w:ascii="宋体" w:hAnsi="宋体" w:cs="宋体"/>
          <w:strike/>
          <w:sz w:val="24"/>
          <w:highlight w:val="none"/>
          <w:u w:val="single"/>
          <w:shd w:val="clear" w:color="auto" w:fill="ffffff"/>
        </w:rPr>
        <w:t xml:space="preserve"> （产品名称1）</w:t>
      </w:r>
      <w:r>
        <w:rPr>
          <w:rFonts w:ascii="宋体" w:hAnsi="宋体" w:cs="宋体"/>
          <w:sz w:val="24"/>
          <w:highlight w:val="none"/>
          <w:u w:val="single"/>
          <w:shd w:val="clear" w:color="auto" w:fill="ffffff"/>
        </w:rPr>
        <w:t xml:space="preserve"> </w:t>
      </w:r>
      <w:r>
        <w:rPr>
          <w:rFonts w:ascii="宋体" w:hAnsi="宋体" w:cs="宋体"/>
          <w:sz w:val="24"/>
          <w:highlight w:val="none"/>
          <w:shd w:val="clear" w:color="auto" w:fill="ffffff"/>
        </w:rPr>
        <w:t xml:space="preserve">的中国境内生产的组件成本占比≥</w:t>
      </w:r>
      <w:r>
        <w:rPr>
          <w:rFonts w:ascii="宋体" w:hAnsi="宋体" w:cs="宋体"/>
          <w:strike/>
          <w:sz w:val="24"/>
          <w:highlight w:val="none"/>
          <w:u w:val="single"/>
          <w:shd w:val="clear" w:color="auto" w:fill="ffffff"/>
        </w:rPr>
        <w:t xml:space="preserve">（规定比例）</w:t>
      </w:r>
      <w:r>
        <w:rPr>
          <w:rFonts w:ascii="宋体" w:hAnsi="宋体" w:cs="宋体"/>
          <w:strike/>
          <w:sz w:val="24"/>
          <w:highlight w:val="none"/>
          <w:shd w:val="clear" w:color="auto" w:fill="ffffff"/>
          <w:vertAlign w:val="superscript"/>
        </w:rPr>
        <w:t xml:space="preserve">3</w:t>
      </w:r>
      <w:r>
        <w:rPr>
          <w:rFonts w:ascii="宋体" w:hAnsi="宋体" w:cs="宋体"/>
          <w:sz w:val="24"/>
          <w:highlight w:val="none"/>
          <w:shd w:val="clear" w:color="auto" w:fill="ffffff"/>
        </w:rPr>
        <w:t xml:space="preserve">。</w:t>
      </w:r>
      <w:r>
        <w:rPr>
          <w:rFonts w:ascii="宋体" w:hAnsi="宋体" w:cs="宋体"/>
          <w:strike/>
          <w:sz w:val="24"/>
          <w:highlight w:val="none"/>
          <w:u w:val="single"/>
          <w:shd w:val="clear" w:color="auto" w:fill="ffffff"/>
        </w:rPr>
        <w:t xml:space="preserve">（产品名称1）</w:t>
      </w:r>
      <w:r>
        <w:rPr>
          <w:rFonts w:ascii="宋体" w:hAnsi="宋体" w:cs="宋体"/>
          <w:sz w:val="24"/>
          <w:highlight w:val="none"/>
          <w:shd w:val="clear" w:color="auto" w:fill="ffffff"/>
        </w:rPr>
        <w:t xml:space="preserve">的</w:t>
      </w:r>
      <w:r>
        <w:rPr>
          <w:rFonts w:ascii="宋体" w:hAnsi="宋体" w:cs="宋体"/>
          <w:strike/>
          <w:sz w:val="24"/>
          <w:highlight w:val="none"/>
          <w:u w:val="single"/>
          <w:shd w:val="clear" w:color="auto" w:fill="ffffff"/>
        </w:rPr>
        <w:t xml:space="preserve">（关键组件）</w:t>
      </w:r>
      <w:r>
        <w:rPr>
          <w:rFonts w:ascii="宋体" w:hAnsi="宋体" w:cs="宋体"/>
          <w:strike/>
          <w:sz w:val="24"/>
          <w:highlight w:val="none"/>
          <w:shd w:val="clear" w:color="auto" w:fill="ffffff"/>
          <w:vertAlign w:val="superscript"/>
        </w:rPr>
        <w:t xml:space="preserve">4</w:t>
      </w:r>
      <w:r>
        <w:rPr>
          <w:rFonts w:ascii="宋体" w:hAnsi="宋体" w:cs="宋体"/>
          <w:sz w:val="24"/>
          <w:highlight w:val="none"/>
          <w:shd w:val="clear" w:color="auto" w:fill="ffffff"/>
        </w:rPr>
        <w:t xml:space="preserve">在中国境内生产。</w:t>
      </w:r>
      <w:r>
        <w:rPr>
          <w:rFonts w:ascii="宋体" w:hAnsi="宋体" w:cs="宋体"/>
          <w:strike/>
          <w:sz w:val="24"/>
          <w:highlight w:val="none"/>
          <w:u w:val="single"/>
          <w:shd w:val="clear" w:color="auto" w:fill="ffffff"/>
        </w:rPr>
        <w:t xml:space="preserve">（产品名称1）</w:t>
      </w:r>
      <w:r>
        <w:rPr>
          <w:rFonts w:ascii="宋体" w:hAnsi="宋体" w:cs="宋体"/>
          <w:sz w:val="24"/>
          <w:highlight w:val="none"/>
          <w:shd w:val="clear" w:color="auto" w:fill="ffffff"/>
        </w:rPr>
        <w:t xml:space="preserve">的</w:t>
      </w:r>
      <w:r>
        <w:rPr>
          <w:rFonts w:ascii="宋体" w:hAnsi="宋体" w:cs="宋体"/>
          <w:strike/>
          <w:sz w:val="24"/>
          <w:highlight w:val="none"/>
          <w:u w:val="single"/>
          <w:shd w:val="clear" w:color="auto" w:fill="ffffff"/>
        </w:rPr>
        <w:t xml:space="preserve">（关键工序）</w:t>
      </w:r>
      <w:r>
        <w:rPr>
          <w:rFonts w:ascii="宋体" w:hAnsi="宋体" w:cs="宋体"/>
          <w:strike/>
          <w:sz w:val="24"/>
          <w:highlight w:val="none"/>
          <w:shd w:val="clear" w:color="auto" w:fill="ffffff"/>
          <w:vertAlign w:val="superscript"/>
        </w:rPr>
        <w:t xml:space="preserve">5</w:t>
      </w:r>
      <w:r>
        <w:rPr>
          <w:rFonts w:ascii="宋体" w:hAnsi="宋体" w:cs="宋体"/>
          <w:sz w:val="24"/>
          <w:highlight w:val="none"/>
          <w:shd w:val="clear" w:color="auto" w:fill="ffffff"/>
        </w:rPr>
        <w:t xml:space="preserve">在中国境内完成。</w:t>
      </w:r>
      <w:r/>
    </w:p>
    <w:p>
      <w:pPr>
        <w:ind w:firstLine="420"/>
        <w:spacing w:before="30" w:after="30"/>
        <w:rPr>
          <w:sz w:val="24"/>
          <w:highlight w:val="none"/>
        </w:rPr>
      </w:pPr>
      <w:r>
        <w:rPr>
          <w:rFonts w:ascii="宋体" w:hAnsi="宋体" w:cs="宋体"/>
          <w:sz w:val="24"/>
          <w:highlight w:val="none"/>
          <w:shd w:val="clear" w:color="auto" w:fill="ffffff"/>
        </w:rPr>
        <w:t xml:space="preserve">2.</w:t>
      </w:r>
      <w:r>
        <w:rPr>
          <w:rFonts w:ascii="宋体" w:hAnsi="宋体" w:cs="宋体"/>
          <w:sz w:val="24"/>
          <w:highlight w:val="none"/>
          <w:u w:val="single"/>
          <w:shd w:val="clear" w:color="auto" w:fill="ffffff"/>
        </w:rPr>
        <w:t xml:space="preserve">（产品名称2）</w:t>
      </w:r>
      <w:r>
        <w:rPr>
          <w:rFonts w:ascii="宋体" w:hAnsi="宋体" w:cs="宋体"/>
          <w:sz w:val="24"/>
          <w:highlight w:val="none"/>
          <w:shd w:val="clear" w:color="auto" w:fill="ffffff"/>
        </w:rPr>
        <w:t xml:space="preserve">，生产厂为</w:t>
      </w:r>
      <w:r>
        <w:rPr>
          <w:rFonts w:ascii="宋体" w:hAnsi="宋体" w:cs="宋体"/>
          <w:sz w:val="24"/>
          <w:highlight w:val="none"/>
          <w:u w:val="single"/>
          <w:shd w:val="clear" w:color="auto" w:fill="ffffff"/>
        </w:rPr>
        <w:t xml:space="preserve">（厂名）</w:t>
      </w:r>
      <w:r>
        <w:rPr>
          <w:rFonts w:ascii="宋体" w:hAnsi="宋体" w:cs="宋体"/>
          <w:sz w:val="24"/>
          <w:highlight w:val="none"/>
          <w:shd w:val="clear" w:color="auto" w:fill="ffffff"/>
        </w:rPr>
        <w:t xml:space="preserve">，厂址为</w:t>
      </w:r>
      <w:r>
        <w:rPr>
          <w:rFonts w:ascii="宋体" w:hAnsi="宋体" w:cs="宋体"/>
          <w:sz w:val="24"/>
          <w:highlight w:val="none"/>
          <w:u w:val="single"/>
          <w:shd w:val="clear" w:color="auto" w:fill="ffffff"/>
        </w:rPr>
        <w:t xml:space="preserve">（生产厂址）</w:t>
      </w:r>
      <w:r>
        <w:rPr>
          <w:rFonts w:ascii="宋体" w:hAnsi="宋体" w:cs="宋体"/>
          <w:sz w:val="24"/>
          <w:highlight w:val="none"/>
          <w:shd w:val="clear" w:color="auto" w:fill="ffffff"/>
        </w:rPr>
        <w:t xml:space="preserve">。</w:t>
      </w:r>
      <w:r>
        <w:rPr>
          <w:rFonts w:ascii="宋体" w:hAnsi="宋体" w:cs="宋体"/>
          <w:strike/>
          <w:sz w:val="24"/>
          <w:highlight w:val="none"/>
          <w:u w:val="single"/>
          <w:shd w:val="clear" w:color="auto" w:fill="ffffff"/>
        </w:rPr>
        <w:t xml:space="preserve">（产品名称2）</w:t>
      </w:r>
      <w:r>
        <w:rPr>
          <w:rFonts w:ascii="宋体" w:hAnsi="宋体" w:cs="宋体"/>
          <w:sz w:val="24"/>
          <w:highlight w:val="none"/>
          <w:shd w:val="clear" w:color="auto" w:fill="ffffff"/>
        </w:rPr>
        <w:t xml:space="preserve">的中国境内生产的组件成本占比≥</w:t>
      </w:r>
      <w:r>
        <w:rPr>
          <w:rFonts w:ascii="宋体" w:hAnsi="宋体" w:cs="宋体"/>
          <w:strike/>
          <w:sz w:val="24"/>
          <w:highlight w:val="none"/>
          <w:u w:val="single"/>
          <w:shd w:val="clear" w:color="auto" w:fill="ffffff"/>
        </w:rPr>
        <w:t xml:space="preserve">（规定比例）</w:t>
      </w:r>
      <w:r>
        <w:rPr>
          <w:rFonts w:ascii="宋体" w:hAnsi="宋体" w:cs="宋体"/>
          <w:sz w:val="24"/>
          <w:highlight w:val="none"/>
          <w:shd w:val="clear" w:color="auto" w:fill="ffffff"/>
        </w:rPr>
        <w:t xml:space="preserve">。</w:t>
      </w:r>
      <w:r>
        <w:rPr>
          <w:rFonts w:ascii="宋体" w:hAnsi="宋体" w:cs="宋体"/>
          <w:strike/>
          <w:sz w:val="24"/>
          <w:highlight w:val="none"/>
          <w:u w:val="single"/>
          <w:shd w:val="clear" w:color="auto" w:fill="ffffff"/>
        </w:rPr>
        <w:t xml:space="preserve">（产品名称2）</w:t>
      </w:r>
      <w:r>
        <w:rPr>
          <w:rFonts w:ascii="宋体" w:hAnsi="宋体" w:cs="宋体"/>
          <w:sz w:val="24"/>
          <w:highlight w:val="none"/>
          <w:shd w:val="clear" w:color="auto" w:fill="ffffff"/>
        </w:rPr>
        <w:t xml:space="preserve">的</w:t>
      </w:r>
      <w:r>
        <w:rPr>
          <w:rFonts w:ascii="宋体" w:hAnsi="宋体" w:cs="宋体"/>
          <w:strike/>
          <w:sz w:val="24"/>
          <w:highlight w:val="none"/>
          <w:u w:val="single"/>
          <w:shd w:val="clear" w:color="auto" w:fill="ffffff"/>
        </w:rPr>
        <w:t xml:space="preserve">（关键组件）</w:t>
      </w:r>
      <w:r>
        <w:rPr>
          <w:rFonts w:ascii="宋体" w:hAnsi="宋体" w:cs="宋体"/>
          <w:sz w:val="24"/>
          <w:highlight w:val="none"/>
          <w:shd w:val="clear" w:color="auto" w:fill="ffffff"/>
        </w:rPr>
        <w:t xml:space="preserve">在中国境内生产。</w:t>
      </w:r>
      <w:r>
        <w:rPr>
          <w:rFonts w:ascii="宋体" w:hAnsi="宋体" w:cs="宋体"/>
          <w:strike/>
          <w:sz w:val="24"/>
          <w:highlight w:val="none"/>
          <w:u w:val="single"/>
          <w:shd w:val="clear" w:color="auto" w:fill="ffffff"/>
        </w:rPr>
        <w:t xml:space="preserve">（产品名称1）</w:t>
      </w:r>
      <w:r>
        <w:rPr>
          <w:rFonts w:ascii="宋体" w:hAnsi="宋体" w:cs="宋体"/>
          <w:sz w:val="24"/>
          <w:highlight w:val="none"/>
          <w:shd w:val="clear" w:color="auto" w:fill="ffffff"/>
        </w:rPr>
        <w:t xml:space="preserve">的</w:t>
      </w:r>
      <w:r>
        <w:rPr>
          <w:rFonts w:ascii="宋体" w:hAnsi="宋体" w:cs="宋体"/>
          <w:strike/>
          <w:sz w:val="24"/>
          <w:highlight w:val="none"/>
          <w:u w:val="single"/>
          <w:shd w:val="clear" w:color="auto" w:fill="ffffff"/>
        </w:rPr>
        <w:t xml:space="preserve">（关键工序）</w:t>
      </w:r>
      <w:r>
        <w:rPr>
          <w:rFonts w:ascii="宋体" w:hAnsi="宋体" w:cs="宋体"/>
          <w:sz w:val="24"/>
          <w:highlight w:val="none"/>
          <w:shd w:val="clear" w:color="auto" w:fill="ffffff"/>
        </w:rPr>
        <w:t xml:space="preserve">在中国境内完成。</w:t>
      </w:r>
      <w:r/>
    </w:p>
    <w:p>
      <w:pPr>
        <w:ind w:firstLine="420"/>
        <w:spacing w:before="30" w:after="30"/>
        <w:rPr>
          <w:sz w:val="24"/>
          <w:highlight w:val="none"/>
        </w:rPr>
      </w:pPr>
      <w:r>
        <w:rPr>
          <w:rFonts w:ascii="宋体" w:hAnsi="宋体" w:cs="宋体"/>
          <w:sz w:val="24"/>
          <w:highlight w:val="none"/>
          <w:shd w:val="clear" w:color="auto" w:fill="ffffff"/>
        </w:rPr>
        <w:t xml:space="preserve">……</w:t>
      </w:r>
      <w:r/>
    </w:p>
    <w:p>
      <w:pPr>
        <w:ind w:firstLine="420"/>
        <w:spacing w:before="30" w:after="30"/>
        <w:rPr>
          <w:sz w:val="24"/>
          <w:highlight w:val="none"/>
        </w:rPr>
      </w:pPr>
      <w:r>
        <w:rPr>
          <w:rFonts w:ascii="宋体" w:hAnsi="宋体" w:cs="宋体"/>
          <w:sz w:val="24"/>
          <w:highlight w:val="none"/>
          <w:shd w:val="clear" w:color="auto" w:fill="ffffff"/>
        </w:rPr>
        <w:t xml:space="preserve">本公司（单位）对上述声明内容的真实性负责。如有虚假，愿承担相应法律责任。</w:t>
      </w:r>
      <w:r/>
    </w:p>
    <w:p>
      <w:pPr>
        <w:spacing w:before="30" w:after="30"/>
        <w:rPr>
          <w:sz w:val="24"/>
          <w:highlight w:val="none"/>
        </w:rPr>
      </w:pPr>
      <w:r>
        <w:rPr>
          <w:rFonts w:ascii="宋体" w:hAnsi="宋体" w:cs="宋体"/>
          <w:sz w:val="24"/>
          <w:highlight w:val="none"/>
        </w:rPr>
        <w:t xml:space="preserve"> </w:t>
      </w:r>
      <w:r/>
    </w:p>
    <w:p>
      <w:pPr>
        <w:ind w:right="480" w:firstLine="3720"/>
        <w:spacing w:before="30" w:after="30"/>
        <w:rPr>
          <w:sz w:val="24"/>
          <w:highlight w:val="none"/>
        </w:rPr>
      </w:pPr>
      <w:r>
        <w:rPr>
          <w:rFonts w:ascii="宋体" w:hAnsi="宋体" w:cs="宋体"/>
          <w:sz w:val="24"/>
          <w:highlight w:val="none"/>
          <w:shd w:val="clear" w:color="auto" w:fill="ffffff"/>
        </w:rPr>
        <w:t xml:space="preserve">公司（单位）名称（盖章）：　</w:t>
      </w:r>
      <w:r/>
    </w:p>
    <w:p>
      <w:pPr>
        <w:jc w:val="center"/>
        <w:spacing w:before="30" w:after="30"/>
        <w:rPr>
          <w:sz w:val="24"/>
          <w:highlight w:val="none"/>
        </w:rPr>
      </w:pPr>
      <w:r>
        <w:rPr>
          <w:rFonts w:ascii="宋体" w:hAnsi="宋体" w:cs="宋体"/>
          <w:sz w:val="24"/>
          <w:highlight w:val="none"/>
          <w:shd w:val="clear" w:color="auto" w:fill="ffffff"/>
        </w:rPr>
        <w:t xml:space="preserve">                日期：　   年　  月　  日         </w:t>
      </w:r>
      <w:r/>
    </w:p>
    <w:p>
      <w:pPr>
        <w:spacing w:before="30" w:after="3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r>
      <w:r/>
    </w:p>
    <w:p>
      <w:pPr>
        <w:spacing w:before="30" w:after="30"/>
        <w:rPr>
          <w:sz w:val="24"/>
          <w:highlight w:val="none"/>
        </w:rPr>
      </w:pPr>
      <w:r>
        <w:rPr>
          <w:rFonts w:ascii="宋体" w:hAnsi="宋体" w:cs="宋体"/>
          <w:sz w:val="24"/>
          <w:highlight w:val="none"/>
          <w:shd w:val="clear" w:color="auto" w:fill="ffffff"/>
        </w:rPr>
        <w:t xml:space="preserve">1.产品如有型号，请在“产品名称”栏一并填写。</w:t>
      </w:r>
      <w:r/>
    </w:p>
    <w:p>
      <w:pPr>
        <w:spacing w:before="30" w:after="30"/>
        <w:rPr>
          <w:sz w:val="24"/>
          <w:highlight w:val="none"/>
        </w:rPr>
      </w:pPr>
      <w:r>
        <w:rPr>
          <w:rFonts w:ascii="宋体" w:hAnsi="宋体" w:cs="宋体"/>
          <w:sz w:val="24"/>
          <w:highlight w:val="none"/>
          <w:shd w:val="clear" w:color="auto" w:fill="ffffff"/>
        </w:rPr>
        <w:t xml:space="preserve">2.生产厂名与厂址应与生产厂营业执照载明的相关信息保持一致。</w:t>
      </w:r>
      <w:r/>
    </w:p>
    <w:p>
      <w:pPr>
        <w:spacing w:before="30" w:after="30"/>
        <w:rPr>
          <w:sz w:val="24"/>
          <w:highlight w:val="none"/>
        </w:rPr>
      </w:pPr>
      <w:r>
        <w:rPr>
          <w:rFonts w:ascii="宋体" w:hAnsi="宋体" w:cs="宋体"/>
          <w:sz w:val="24"/>
          <w:highlight w:val="none"/>
          <w:shd w:val="clear" w:color="auto" w:fill="ffffff"/>
        </w:rPr>
        <w:t xml:space="preserve">3.该产品的中国境内生产的组件成本占比相关要求实施前，“规定比例”栏可不填，下同。</w:t>
      </w:r>
      <w:r/>
    </w:p>
    <w:p>
      <w:pPr>
        <w:spacing w:before="30" w:after="30"/>
        <w:rPr>
          <w:sz w:val="24"/>
          <w:highlight w:val="none"/>
        </w:rPr>
      </w:pPr>
      <w:r>
        <w:rPr>
          <w:rFonts w:ascii="宋体" w:hAnsi="宋体" w:cs="宋体"/>
          <w:sz w:val="24"/>
          <w:highlight w:val="none"/>
          <w:shd w:val="clear" w:color="auto" w:fill="ffffff"/>
        </w:rPr>
        <w:t xml:space="preserve">4.该产品的关键组件要求实施前，“关键组件”栏可不填，下同。</w:t>
      </w:r>
      <w:r/>
    </w:p>
    <w:p>
      <w:pPr>
        <w:spacing w:before="30" w:after="30"/>
        <w:rPr>
          <w:sz w:val="24"/>
          <w:highlight w:val="none"/>
        </w:rPr>
      </w:pPr>
      <w:r>
        <w:rPr>
          <w:rFonts w:ascii="宋体" w:hAnsi="宋体" w:cs="宋体"/>
          <w:sz w:val="24"/>
          <w:highlight w:val="none"/>
          <w:shd w:val="clear" w:color="auto" w:fill="ffffff"/>
        </w:rPr>
        <w:t xml:space="preserve">5.该产品的关键工序要求实施前，“关键工序”栏可不填，下同。</w:t>
      </w:r>
      <w:r/>
    </w:p>
    <w:p>
      <w:pPr>
        <w:spacing w:before="30" w:after="30"/>
        <w:rPr>
          <w:sz w:val="24"/>
          <w:highlight w:val="none"/>
        </w:rPr>
      </w:pPr>
      <w:r>
        <w:rPr>
          <w:rFonts w:ascii="宋体" w:hAnsi="宋体" w:cs="宋体"/>
          <w:sz w:val="24"/>
          <w:highlight w:val="none"/>
          <w:shd w:val="clear" w:color="auto" w:fill="ffffff"/>
        </w:rPr>
        <w:t xml:space="preserve">6.用</w:t>
      </w:r>
      <w:r>
        <w:rPr>
          <w:rFonts w:hint="eastAsia" w:ascii="宋体" w:hAnsi="宋体" w:cs="宋体"/>
          <w:sz w:val="24"/>
          <w:highlight w:val="none"/>
          <w:shd w:val="clear" w:color="auto" w:fill="ffffff"/>
        </w:rPr>
        <w:t xml:space="preserve">横</w:t>
      </w:r>
      <w:r>
        <w:rPr>
          <w:rFonts w:ascii="宋体" w:hAnsi="宋体" w:cs="宋体"/>
          <w:sz w:val="24"/>
          <w:highlight w:val="none"/>
          <w:shd w:val="clear" w:color="auto" w:fill="ffffff"/>
        </w:rPr>
        <w:t xml:space="preserve">线划除的地方无需填写。</w:t>
      </w:r>
      <w:r/>
    </w:p>
    <w:p>
      <w:pPr>
        <w:pStyle w:val="941"/>
        <w:jc w:val="center"/>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0"/>
        <w:rPr>
          <w:rFonts w:ascii="黑体" w:eastAsia="黑体"/>
          <w:highlight w:val="none"/>
        </w:rPr>
      </w:pPr>
      <w:r>
        <w:rPr>
          <w:rFonts w:ascii="黑体" w:eastAsia="黑体"/>
          <w:highlight w:val="none"/>
        </w:rPr>
      </w:r>
      <w:r/>
    </w:p>
    <w:p>
      <w:pPr>
        <w:pStyle w:val="941"/>
        <w:jc w:val="center"/>
        <w:rPr>
          <w:rFonts w:ascii="黑体" w:eastAsia="黑体"/>
          <w:strike/>
          <w:highlight w:val="none"/>
        </w:rPr>
      </w:pPr>
      <w:r>
        <w:rPr>
          <w:rFonts w:hint="eastAsia" w:ascii="黑体" w:eastAsia="黑体"/>
          <w:highlight w:val="none"/>
        </w:rPr>
        <w:t xml:space="preserve">十二、</w:t>
      </w:r>
      <w:r>
        <w:rPr>
          <w:rFonts w:ascii="黑体" w:eastAsia="黑体"/>
          <w:highlight w:val="none"/>
        </w:rPr>
        <w:t xml:space="preserve"> </w:t>
      </w:r>
      <w:r>
        <w:rPr>
          <w:rFonts w:hint="eastAsia" w:ascii="黑体" w:eastAsia="黑体"/>
          <w:highlight w:val="none"/>
        </w:rPr>
        <w:t xml:space="preserve">投标产品品牌型号及分项报价表</w:t>
      </w:r>
      <w:r/>
    </w:p>
    <w:p>
      <w:pPr>
        <w:pStyle w:val="931"/>
        <w:ind w:left="0" w:right="1470"/>
        <w:jc w:val="left"/>
        <w:rPr>
          <w:rFonts w:hint="default" w:ascii="黑体" w:eastAsia="黑体"/>
          <w:highlight w:val="none"/>
          <w:u w:val="single"/>
        </w:rPr>
      </w:pPr>
      <w:r>
        <w:rPr>
          <w:rFonts w:ascii="黑体" w:eastAsia="黑体"/>
          <w:highlight w:val="none"/>
        </w:rPr>
        <w:t xml:space="preserve">项目名称：</w:t>
      </w:r>
      <w:r>
        <w:rPr>
          <w:rFonts w:ascii="黑体" w:eastAsia="黑体"/>
          <w:highlight w:val="none"/>
          <w:u w:val="single"/>
        </w:rPr>
        <w:t xml:space="preserve">                         </w:t>
      </w:r>
      <w:r/>
    </w:p>
    <w:p>
      <w:pPr>
        <w:pStyle w:val="931"/>
        <w:ind w:left="0" w:right="1470"/>
        <w:jc w:val="right"/>
        <w:rPr>
          <w:rFonts w:hint="eastAsia" w:ascii="黑体" w:eastAsia="黑体"/>
          <w:highlight w:val="none"/>
          <w:lang w:val="en-US" w:eastAsia="zh-CN"/>
        </w:rPr>
      </w:pPr>
      <w:r>
        <w:rPr>
          <w:rFonts w:hint="eastAsia" w:ascii="黑体" w:eastAsia="黑体"/>
          <w:highlight w:val="none"/>
          <w:lang w:val="en-US" w:eastAsia="zh-CN"/>
        </w:rPr>
        <w:t xml:space="preserve">         人民币：元</w:t>
      </w:r>
      <w:r/>
    </w:p>
    <w:tbl>
      <w:tblPr>
        <w:tblStyle w:val="742"/>
        <w:tblW w:w="10333" w:type="dxa"/>
        <w:tblInd w:w="-1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389"/>
        <w:gridCol w:w="1208"/>
        <w:gridCol w:w="974"/>
        <w:gridCol w:w="736"/>
        <w:gridCol w:w="957"/>
        <w:gridCol w:w="916"/>
        <w:gridCol w:w="959"/>
        <w:gridCol w:w="1208"/>
        <w:gridCol w:w="1250"/>
      </w:tblGrid>
      <w:tr>
        <w:trPr>
          <w:trHeight w:val="478"/>
        </w:trPr>
        <w:tc>
          <w:tcPr>
            <w:tcW w:w="736" w:type="dxa"/>
            <w:vAlign w:val="center"/>
            <w:vMerge w:val="restart"/>
            <w:textDirection w:val="lrTb"/>
            <w:noWrap w:val="false"/>
          </w:tcPr>
          <w:p>
            <w:pPr>
              <w:jc w:val="center"/>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序号</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1389" w:type="dxa"/>
            <w:vAlign w:val="center"/>
            <w:textDirection w:val="lrTb"/>
            <w:noWrap w:val="false"/>
          </w:tcPr>
          <w:p>
            <w:pPr>
              <w:jc w:val="center"/>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1</w:t>
            </w:r>
            <w:r/>
          </w:p>
        </w:tc>
        <w:tc>
          <w:tcPr>
            <w:tcW w:w="1208" w:type="dxa"/>
            <w:vAlign w:val="center"/>
            <w:textDirection w:val="lrTb"/>
            <w:noWrap w:val="false"/>
          </w:tcPr>
          <w:p>
            <w:pPr>
              <w:jc w:val="center"/>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2</w:t>
            </w:r>
            <w:r/>
          </w:p>
        </w:tc>
        <w:tc>
          <w:tcPr>
            <w:tcW w:w="974" w:type="dxa"/>
            <w:vAlign w:val="center"/>
            <w:textDirection w:val="lrTb"/>
            <w:noWrap w:val="false"/>
          </w:tcPr>
          <w:p>
            <w:pPr>
              <w:jc w:val="center"/>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3</w:t>
            </w:r>
            <w:r/>
          </w:p>
        </w:tc>
        <w:tc>
          <w:tcPr>
            <w:tcW w:w="736" w:type="dxa"/>
            <w:vAlign w:val="center"/>
            <w:textDirection w:val="lrTb"/>
            <w:noWrap w:val="false"/>
          </w:tcPr>
          <w:p>
            <w:pPr>
              <w:jc w:val="center"/>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4</w:t>
            </w:r>
            <w:r/>
          </w:p>
        </w:tc>
        <w:tc>
          <w:tcPr>
            <w:tcW w:w="957" w:type="dxa"/>
            <w:vAlign w:val="center"/>
            <w:textDirection w:val="lrTb"/>
            <w:noWrap w:val="false"/>
          </w:tcPr>
          <w:p>
            <w:pPr>
              <w:jc w:val="center"/>
              <w:widowControl/>
              <w:rPr>
                <w:rFonts w:hint="eastAsia" w:ascii="宋体" w:hAnsi="宋体" w:eastAsia="宋体" w:cs="宋体"/>
                <w:b/>
                <w:bCs/>
                <w:color w:val="000000"/>
                <w:lang w:val="en-US" w:eastAsia="zh-CN"/>
              </w:rPr>
            </w:pPr>
            <w:r>
              <w:rPr>
                <w:rFonts w:hint="eastAsia" w:ascii="宋体" w:hAnsi="宋体" w:cs="宋体"/>
                <w:b/>
                <w:bCs/>
                <w:color w:val="000000"/>
                <w:lang w:val="en-US" w:eastAsia="zh-CN"/>
              </w:rPr>
              <w:t xml:space="preserve">5</w:t>
            </w:r>
            <w:r/>
          </w:p>
        </w:tc>
        <w:tc>
          <w:tcPr>
            <w:tcW w:w="916" w:type="dxa"/>
            <w:vAlign w:val="center"/>
            <w:textDirection w:val="lrTb"/>
            <w:noWrap w:val="false"/>
          </w:tcPr>
          <w:p>
            <w:pPr>
              <w:jc w:val="center"/>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6</w:t>
            </w:r>
            <w:r/>
          </w:p>
        </w:tc>
        <w:tc>
          <w:tcPr>
            <w:tcW w:w="959" w:type="dxa"/>
            <w:vAlign w:val="center"/>
            <w:textDirection w:val="lrTb"/>
            <w:noWrap w:val="false"/>
          </w:tcPr>
          <w:p>
            <w:pPr>
              <w:jc w:val="center"/>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7</w:t>
            </w:r>
            <w:r/>
          </w:p>
        </w:tc>
        <w:tc>
          <w:tcPr>
            <w:tcW w:w="1208" w:type="dxa"/>
            <w:vAlign w:val="center"/>
            <w:textDirection w:val="lrTb"/>
            <w:noWrap w:val="false"/>
          </w:tcPr>
          <w:p>
            <w:pPr>
              <w:jc w:val="center"/>
              <w:widowControl/>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8</w:t>
            </w:r>
            <w:r/>
          </w:p>
        </w:tc>
        <w:tc>
          <w:tcPr>
            <w:tcW w:w="1250" w:type="dxa"/>
            <w:vAlign w:val="center"/>
            <w:textDirection w:val="lrTb"/>
            <w:noWrap w:val="false"/>
          </w:tcPr>
          <w:p>
            <w:pPr>
              <w:jc w:val="center"/>
              <w:widowControl/>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9</w:t>
            </w:r>
            <w:r/>
          </w:p>
        </w:tc>
      </w:tr>
      <w:tr>
        <w:trPr>
          <w:trHeight w:val="658"/>
        </w:trPr>
        <w:tc>
          <w:tcPr>
            <w:tcW w:w="736" w:type="dxa"/>
            <w:vAlign w:val="center"/>
            <w:vMerge w:val="continue"/>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c>
          <w:tcPr>
            <w:tcW w:w="1389" w:type="dxa"/>
            <w:vAlign w:val="center"/>
            <w:textDirection w:val="lrTb"/>
            <w:noWrap w:val="false"/>
          </w:tcPr>
          <w:p>
            <w:pPr>
              <w:pStyle w:val="759"/>
              <w:jc w:val="center"/>
              <w:spacing w:beforeAutospacing="0" w:afterAutospacing="0" w:line="0" w:lineRule="atLeast"/>
              <w:rPr>
                <w:rFonts w:hint="eastAsia" w:ascii="宋体" w:hAnsi="宋体" w:cs="宋体"/>
                <w:b/>
                <w:bCs/>
                <w:sz w:val="24"/>
                <w:highlight w:val="none"/>
              </w:rPr>
            </w:pPr>
            <w:r>
              <w:rPr>
                <w:rFonts w:hint="eastAsia" w:ascii="宋体" w:hAnsi="宋体" w:cs="宋体"/>
                <w:b/>
                <w:bCs/>
                <w:color w:val="000000"/>
              </w:rPr>
              <w:t xml:space="preserve">产品名称</w:t>
            </w:r>
            <w:r/>
          </w:p>
        </w:tc>
        <w:tc>
          <w:tcPr>
            <w:tcW w:w="1208"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color w:val="000000"/>
              </w:rPr>
              <w:t xml:space="preserve">品牌</w:t>
            </w:r>
            <w:r/>
          </w:p>
        </w:tc>
        <w:tc>
          <w:tcPr>
            <w:tcW w:w="974" w:type="dxa"/>
            <w:vAlign w:val="center"/>
            <w:textDirection w:val="lrTb"/>
            <w:noWrap w:val="false"/>
          </w:tcPr>
          <w:p>
            <w:pPr>
              <w:pStyle w:val="759"/>
              <w:jc w:val="center"/>
              <w:spacing w:beforeAutospacing="0" w:afterAutospacing="0" w:line="0" w:lineRule="atLeast"/>
              <w:rPr>
                <w:rFonts w:hint="eastAsia" w:ascii="宋体" w:hAnsi="宋体" w:cs="宋体"/>
                <w:b/>
                <w:bCs/>
                <w:sz w:val="24"/>
                <w:highlight w:val="none"/>
              </w:rPr>
            </w:pPr>
            <w:r>
              <w:rPr>
                <w:rFonts w:hint="eastAsia" w:ascii="宋体" w:hAnsi="宋体" w:cs="宋体"/>
                <w:b/>
                <w:bCs/>
                <w:color w:val="000000"/>
              </w:rPr>
              <w:t xml:space="preserve">规格型号</w:t>
            </w:r>
            <w:r/>
          </w:p>
        </w:tc>
        <w:tc>
          <w:tcPr>
            <w:tcW w:w="736"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color w:val="000000"/>
              </w:rPr>
              <w:t xml:space="preserve">产地</w:t>
            </w:r>
            <w:r/>
          </w:p>
        </w:tc>
        <w:tc>
          <w:tcPr>
            <w:tcW w:w="957"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color w:val="000000"/>
              </w:rPr>
              <w:t xml:space="preserve">交付期</w:t>
            </w:r>
            <w:r/>
          </w:p>
        </w:tc>
        <w:tc>
          <w:tcPr>
            <w:tcW w:w="916"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单位</w:t>
            </w:r>
            <w:r/>
          </w:p>
        </w:tc>
        <w:tc>
          <w:tcPr>
            <w:tcW w:w="959"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数量</w:t>
            </w:r>
            <w:r/>
          </w:p>
        </w:tc>
        <w:tc>
          <w:tcPr>
            <w:tcW w:w="1208" w:type="dxa"/>
            <w:vAlign w:val="center"/>
            <w:textDirection w:val="lrTb"/>
            <w:noWrap w:val="false"/>
          </w:tcPr>
          <w:p>
            <w:pPr>
              <w:jc w:val="center"/>
              <w:widowControl/>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分项单价</w:t>
            </w:r>
            <w:r/>
          </w:p>
        </w:tc>
        <w:tc>
          <w:tcPr>
            <w:tcW w:w="1250" w:type="dxa"/>
            <w:vAlign w:val="center"/>
            <w:textDirection w:val="lrTb"/>
            <w:noWrap w:val="false"/>
          </w:tcPr>
          <w:p>
            <w:pPr>
              <w:jc w:val="center"/>
              <w:widowControl/>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分项总价</w:t>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一、货车占道</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车辆行驶融合抓拍单元</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全息智能终端</w:t>
            </w:r>
            <w:r/>
          </w:p>
        </w:tc>
        <w:tc>
          <w:tcPr>
            <w:tcW w:w="1208" w:type="dxa"/>
            <w:vAlign w:val="center"/>
            <w:textDirection w:val="lrTb"/>
            <w:noWrap/>
          </w:tcPr>
          <w:p>
            <w:pPr>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2280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2280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管道顶管敷设</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1064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val="false"/>
          </w:tcPr>
          <w:p>
            <w:pPr>
              <w:jc w:val="left"/>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小计：</w:t>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二、违停抓拍</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违停球机</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道路监控球机</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28</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摄像机安装支架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6.5m杆件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390"/>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横臂</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交安标识牌</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管道直埋敷设</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1040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管道手井</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光纤终端盒</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光纤收发器</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室外光缆</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533.5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PE管</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1144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钢管</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47</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波纹管</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1309</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492.8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855.6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接入交换机</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智能设备箱</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val="false"/>
          </w:tcPr>
          <w:p>
            <w:pPr>
              <w:jc w:val="left"/>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小计：</w:t>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三、非机动车违法行驶抓拍</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四目结构化</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频闪补光灯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摄像机安装支架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4.5m杆件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横臂</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接入交换机</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交安标识牌</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管道直埋敷设</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管道手井</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PE管</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波纹管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255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448.8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187.2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智能设备箱</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val="false"/>
          </w:tcPr>
          <w:p>
            <w:pPr>
              <w:jc w:val="left"/>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小计：</w:t>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四、高速出入口抓拍</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卡口相机</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多合一补光灯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道路监控球机</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摄像机安装支架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标识牌</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6.5m杆件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6.5m杆件</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管道直埋敷设</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管道手井</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光纤终端盒</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光纤收发器</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室外光缆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1507</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PE管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1518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波纹管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240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1628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422.4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290.4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智能设备箱</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left"/>
              <w:widowControl/>
              <w:rPr>
                <w:rFonts w:hint="eastAsia" w:ascii="宋体" w:hAnsi="宋体" w:eastAsia="宋体" w:cs="宋体"/>
                <w:sz w:val="24"/>
                <w:highlight w:val="none"/>
                <w:lang w:val="en-US" w:eastAsia="zh-CN"/>
              </w:rPr>
            </w:pPr>
            <w:r>
              <w:rPr>
                <w:rFonts w:hint="eastAsia" w:ascii="宋体" w:hAnsi="宋体" w:cs="宋体"/>
                <w:b/>
                <w:bCs/>
                <w:sz w:val="24"/>
                <w:highlight w:val="none"/>
                <w:lang w:val="en-US" w:eastAsia="zh-CN"/>
              </w:rPr>
              <w:t xml:space="preserve">小计：</w:t>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2"/>
            <w:tcW w:w="2125" w:type="dxa"/>
            <w:vAlign w:val="center"/>
            <w:textDirection w:val="lrTb"/>
            <w:noWrap/>
          </w:tcPr>
          <w:p>
            <w:pPr>
              <w:jc w:val="center"/>
              <w:widowControl/>
              <w:rPr>
                <w:rFonts w:hint="eastAsia" w:ascii="宋体" w:hAnsi="宋体" w:cs="宋体"/>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rPr>
              <w:t xml:space="preserve">无人机系统</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b w:val="0"/>
                <w:bCs w:val="0"/>
                <w:sz w:val="24"/>
              </w:rPr>
              <w:t xml:space="preserve">无人机软件平台</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套</w:t>
            </w:r>
            <w:r/>
          </w:p>
        </w:tc>
        <w:tc>
          <w:tcPr>
            <w:tcW w:w="959"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w:t>
            </w:r>
            <w:r>
              <w:rPr>
                <w:rFonts w:hint="eastAsia" w:ascii="宋体" w:hAnsi="宋体" w:cs="宋体"/>
                <w:b/>
                <w:bCs/>
                <w:color w:val="ee0000"/>
                <w:sz w:val="24"/>
                <w:highlight w:val="none"/>
              </w:rPr>
              <w:t xml:space="preserve">（核心产品）</w:t>
            </w:r>
            <w:r/>
          </w:p>
        </w:tc>
        <w:tc>
          <w:tcPr>
            <w:tcW w:w="1208" w:type="dxa"/>
            <w:vAlign w:val="center"/>
            <w:textDirection w:val="lrTb"/>
            <w:noWrap/>
          </w:tcPr>
          <w:p>
            <w:pPr>
              <w:jc w:val="left"/>
              <w:widowControl/>
              <w:rPr>
                <w:rFonts w:hint="eastAsia" w:ascii="宋体" w:hAnsi="宋体" w:cs="宋体"/>
                <w:sz w:val="24"/>
                <w:highlight w:val="none"/>
                <w:lang w:eastAsia="zh-CN"/>
              </w:rPr>
            </w:pPr>
            <w:r>
              <w:rPr>
                <w:rFonts w:hint="eastAsia" w:ascii="宋体" w:hAnsi="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无人机机库</w:t>
            </w:r>
            <w:r/>
          </w:p>
        </w:tc>
        <w:tc>
          <w:tcPr>
            <w:tcW w:w="1208" w:type="dxa"/>
            <w:vAlign w:val="center"/>
            <w:textDirection w:val="lrTb"/>
            <w:noWrap/>
          </w:tcPr>
          <w:p>
            <w:pPr>
              <w:jc w:val="left"/>
              <w:widowControl/>
              <w:rPr>
                <w:rFonts w:hint="eastAsia" w:ascii="宋体" w:hAnsi="宋体" w:cs="宋体"/>
                <w:sz w:val="24"/>
                <w:highlight w:val="none"/>
                <w:lang w:eastAsia="zh-CN"/>
              </w:rPr>
            </w:pPr>
            <w:r>
              <w:rPr>
                <w:rFonts w:hint="eastAsia" w:ascii="宋体" w:hAnsi="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无人机电池</w:t>
            </w:r>
            <w:r/>
          </w:p>
        </w:tc>
        <w:tc>
          <w:tcPr>
            <w:tcW w:w="1208" w:type="dxa"/>
            <w:vAlign w:val="center"/>
            <w:textDirection w:val="lrTb"/>
            <w:noWrap/>
          </w:tcPr>
          <w:p>
            <w:pPr>
              <w:jc w:val="left"/>
              <w:widowControl/>
              <w:rPr>
                <w:rFonts w:hint="eastAsia" w:ascii="宋体" w:hAnsi="宋体" w:cs="宋体"/>
                <w:sz w:val="24"/>
                <w:highlight w:val="none"/>
                <w:lang w:eastAsia="zh-CN"/>
              </w:rPr>
            </w:pPr>
            <w:r>
              <w:rPr>
                <w:rFonts w:hint="eastAsia" w:ascii="宋体" w:hAnsi="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58"/>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探照灯</w:t>
            </w:r>
            <w:r/>
          </w:p>
        </w:tc>
        <w:tc>
          <w:tcPr>
            <w:tcW w:w="1208" w:type="dxa"/>
            <w:vAlign w:val="center"/>
            <w:textDirection w:val="lrTb"/>
            <w:noWrap/>
          </w:tcPr>
          <w:p>
            <w:pPr>
              <w:numPr>
                <w:ilvl w:val="0"/>
                <w:numId w:val="0"/>
              </w:numP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5.6</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三合一挂载</w:t>
            </w:r>
            <w:r/>
          </w:p>
        </w:tc>
        <w:tc>
          <w:tcPr>
            <w:tcW w:w="1208" w:type="dxa"/>
            <w:vAlign w:val="center"/>
            <w:textDirection w:val="lrTb"/>
            <w:noWrap/>
          </w:tcPr>
          <w:p>
            <w:pPr>
              <w:numPr>
                <w:ilvl w:val="0"/>
                <w:numId w:val="0"/>
              </w:num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5.7</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无人机及值守平台保险</w:t>
            </w:r>
            <w:r/>
          </w:p>
        </w:tc>
        <w:tc>
          <w:tcPr>
            <w:tcW w:w="1208" w:type="dxa"/>
            <w:vAlign w:val="center"/>
            <w:textDirection w:val="lrTb"/>
            <w:noWrap/>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5.8</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无人机三者保险</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9</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无人机基建及部署安装</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rPr>
              <w:t xml:space="preserve">5.1</w:t>
            </w:r>
            <w:r>
              <w:rPr>
                <w:rFonts w:hint="eastAsia" w:ascii="宋体" w:hAnsi="宋体" w:cs="宋体"/>
                <w:sz w:val="24"/>
                <w:highlight w:val="none"/>
                <w:lang w:val="en-US" w:eastAsia="zh-CN"/>
              </w:rPr>
              <w:t xml:space="preserve">0</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无人机安装塔租</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rPr>
              <w:t xml:space="preserve">5.1</w:t>
            </w:r>
            <w:r>
              <w:rPr>
                <w:rFonts w:hint="eastAsia" w:ascii="宋体" w:hAnsi="宋体" w:cs="宋体"/>
                <w:sz w:val="24"/>
                <w:highlight w:val="none"/>
                <w:lang w:val="en-US" w:eastAsia="zh-CN"/>
              </w:rPr>
              <w:t xml:space="preserve">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231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rPr>
              <w:t xml:space="preserve">5.1</w:t>
            </w:r>
            <w:r>
              <w:rPr>
                <w:rFonts w:hint="eastAsia" w:ascii="宋体" w:hAnsi="宋体" w:cs="宋体"/>
                <w:sz w:val="24"/>
                <w:highlight w:val="none"/>
                <w:lang w:val="en-US" w:eastAsia="zh-CN"/>
              </w:rPr>
              <w:t xml:space="preserve">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276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rPr>
              <w:t xml:space="preserve">5.1</w:t>
            </w:r>
            <w:r>
              <w:rPr>
                <w:rFonts w:hint="eastAsia" w:ascii="宋体" w:hAnsi="宋体" w:cs="宋体"/>
                <w:sz w:val="24"/>
                <w:highlight w:val="none"/>
                <w:lang w:val="en-US" w:eastAsia="zh-CN"/>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5G无人机终端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218"/>
        </w:trPr>
        <w:tc>
          <w:tcPr>
            <w:gridSpan w:val="9"/>
            <w:tcW w:w="9083" w:type="dxa"/>
            <w:vAlign w:val="center"/>
            <w:textDirection w:val="lrTb"/>
            <w:noWrap/>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小计：</w:t>
            </w:r>
            <w:r>
              <w:rPr>
                <w:rFonts w:hint="eastAsia" w:ascii="宋体" w:hAnsi="宋体" w:cs="宋体"/>
                <w:b/>
                <w:bCs/>
                <w:sz w:val="24"/>
                <w:highlight w:val="none"/>
              </w:rPr>
              <w:t xml:space="preserve">　</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六、哨兵系统</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60"/>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支路来车预警一体机</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13"/>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设备基础</w:t>
            </w:r>
            <w:r/>
          </w:p>
        </w:tc>
        <w:tc>
          <w:tcPr>
            <w:tcW w:w="1208" w:type="dxa"/>
            <w:vAlign w:val="center"/>
            <w:textDirection w:val="lrTb"/>
            <w:noWrap/>
          </w:tcPr>
          <w:p>
            <w:pPr>
              <w:jc w:val="center"/>
              <w:widowControl/>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管道直埋敷设</w:t>
            </w:r>
            <w:r/>
          </w:p>
        </w:tc>
        <w:tc>
          <w:tcPr>
            <w:tcW w:w="1208" w:type="dxa"/>
            <w:vAlign w:val="center"/>
            <w:textDirection w:val="lrTb"/>
            <w:noWrap w:val="false"/>
          </w:tcPr>
          <w:p>
            <w:p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974" w:type="dxa"/>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486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管道手井</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光纤终端盒</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光纤收发器</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室外光缆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PE管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534.6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钢管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波纹管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710.6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919.2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小计：</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七、防疲劳系统</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全彩公路激光灯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定向波束喇叭</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管道直埋敷设</w:t>
            </w:r>
            <w:r/>
          </w:p>
        </w:tc>
        <w:tc>
          <w:tcPr>
            <w:tcW w:w="1208" w:type="dxa"/>
            <w:vAlign w:val="center"/>
            <w:textDirection w:val="lrTb"/>
            <w:noWrap w:val="false"/>
          </w:tcPr>
          <w:p>
            <w:p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974" w:type="dxa"/>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736" w:type="dxa"/>
            <w:vAlign w:val="center"/>
            <w:textDirection w:val="lrTb"/>
            <w:noWrap w:val="false"/>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管道手井</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个</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PE管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38.5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波纹管</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49.5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140.8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left"/>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小计：</w:t>
            </w:r>
            <w:r>
              <w:rPr>
                <w:rFonts w:hint="eastAsia" w:ascii="宋体" w:hAnsi="宋体" w:cs="宋体"/>
                <w:b/>
                <w:bCs/>
                <w:sz w:val="24"/>
                <w:highlight w:val="none"/>
              </w:rPr>
              <w:t xml:space="preserve">　　</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八、交通信号诱导发布屏</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显示屏</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39</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399"/>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显示屏密封箱体</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39</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发布终端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交通联网信息发布平台</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电力电缆</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2040.5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448.8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室外防水网线</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489.6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lang w:val="en-US" w:eastAsia="zh-CN"/>
              </w:rPr>
              <w:t xml:space="preserve">小计：</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九、交通信号辅助灯带</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信号灯带</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信号灯带控制器</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46</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电源线</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米</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253</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both"/>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小计：</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十、中心扩容</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云存储工作站</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无人机应用工作站</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无人机AI算法工作站</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交通信息发布平台工作站</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汇聚交换机</w:t>
            </w:r>
            <w:r/>
          </w:p>
        </w:tc>
        <w:tc>
          <w:tcPr>
            <w:tcW w:w="1208"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20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val="false"/>
          </w:tcPr>
          <w:p>
            <w:pPr>
              <w:jc w:val="both"/>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小计</w:t>
            </w:r>
            <w:r>
              <w:rPr>
                <w:rFonts w:hint="eastAsia" w:ascii="宋体" w:hAnsi="宋体" w:cs="宋体"/>
                <w:b/>
                <w:bCs/>
                <w:sz w:val="24"/>
                <w:highlight w:val="none"/>
              </w:rPr>
              <w:t xml:space="preserve">　</w:t>
            </w:r>
            <w:r/>
          </w:p>
        </w:tc>
        <w:tc>
          <w:tcPr>
            <w:tcW w:w="1250" w:type="dxa"/>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3"/>
            <w:tcW w:w="3333"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十一、智慧岗亭（应根据采购人实际需求定制，经采购人同意后方可施工）</w:t>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智慧岗亭（外径尺寸：室内面积3.6米*8米，约28.8平米）</w:t>
            </w:r>
            <w:r/>
          </w:p>
        </w:tc>
        <w:tc>
          <w:tcPr>
            <w:tcW w:w="1208" w:type="dxa"/>
            <w:vAlign w:val="center"/>
            <w:textDirection w:val="lrTb"/>
            <w:noWrap/>
          </w:tcPr>
          <w:p>
            <w:pPr>
              <w:jc w:val="left"/>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yellow"/>
              </w:rPr>
            </w:pPr>
            <w:r>
              <w:rPr>
                <w:rFonts w:hint="eastAsia" w:ascii="宋体" w:hAnsi="宋体" w:cs="宋体"/>
                <w:sz w:val="24"/>
                <w:highlight w:val="yellow"/>
              </w:rPr>
            </w:r>
            <w:r/>
          </w:p>
        </w:tc>
        <w:tc>
          <w:tcPr>
            <w:tcW w:w="1250" w:type="dxa"/>
            <w:vAlign w:val="center"/>
            <w:textDirection w:val="lrTb"/>
            <w:noWrap/>
          </w:tcPr>
          <w:p>
            <w:pPr>
              <w:jc w:val="center"/>
              <w:widowControl/>
              <w:rPr>
                <w:rFonts w:hint="eastAsia" w:ascii="宋体" w:hAnsi="宋体" w:cs="宋体"/>
                <w:sz w:val="24"/>
                <w:highlight w:val="yellow"/>
              </w:rPr>
            </w:pPr>
            <w:r>
              <w:rPr>
                <w:rFonts w:hint="eastAsia" w:ascii="宋体" w:hAnsi="宋体" w:cs="宋体"/>
                <w:sz w:val="24"/>
                <w:highlight w:val="yellow"/>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rPr>
              <w:t xml:space="preserve">警用装备柜</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宣教学习系统</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外勤全域动态影像采集设备</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360全景采集设备</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高清业务纪实采集设备</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908"/>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7</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高清点调业务监看专用终端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8</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调音台</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top"/>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台</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9</w:t>
            </w:r>
            <w:r/>
          </w:p>
        </w:tc>
        <w:tc>
          <w:tcPr>
            <w:tcW w:w="1389"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多媒体一体化管控终端</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highlight w:val="yellow"/>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w:t>
            </w:r>
            <w:r/>
          </w:p>
        </w:tc>
        <w:tc>
          <w:tcPr>
            <w:tcW w:w="1389" w:type="dxa"/>
            <w:vAlign w:val="center"/>
            <w:textDirection w:val="lrTb"/>
            <w:noWrap w:val="false"/>
          </w:tcPr>
          <w:p>
            <w:pPr>
              <w:jc w:val="left"/>
              <w:widowControl/>
              <w:rPr>
                <w:rFonts w:hint="eastAsia" w:ascii="宋体" w:hAnsi="宋体" w:cs="宋体"/>
                <w:sz w:val="24"/>
                <w:highlight w:val="yellow"/>
              </w:rPr>
            </w:pPr>
            <w:r>
              <w:rPr>
                <w:rFonts w:hint="eastAsia" w:ascii="宋体" w:hAnsi="宋体" w:cs="宋体"/>
                <w:sz w:val="24"/>
              </w:rPr>
              <w:t xml:space="preserve">交通违法业务处罚自助机</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11</w:t>
            </w:r>
            <w:r/>
          </w:p>
        </w:tc>
        <w:tc>
          <w:tcPr>
            <w:tcW w:w="1389"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高清宣教/公示类显示终端布设位，含电源、数据接口及安装基座</w:t>
            </w:r>
            <w:r/>
          </w:p>
        </w:tc>
        <w:tc>
          <w:tcPr>
            <w:tcW w:w="1208" w:type="dxa"/>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74"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w:t>
            </w:r>
            <w:r/>
          </w:p>
        </w:tc>
        <w:tc>
          <w:tcPr>
            <w:tcW w:w="1389"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rPr>
              <w:t xml:space="preserve">智慧岗亭（外径尺寸：室内面积3米*3米，约9平米）</w:t>
            </w:r>
            <w:r/>
          </w:p>
        </w:tc>
        <w:tc>
          <w:tcPr>
            <w:tcW w:w="1208" w:type="dxa"/>
            <w:vAlign w:val="center"/>
            <w:textDirection w:val="lrTb"/>
            <w:noWrap/>
          </w:tcPr>
          <w:p>
            <w:p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套</w:t>
            </w:r>
            <w:r/>
          </w:p>
        </w:tc>
        <w:tc>
          <w:tcPr>
            <w:tcW w:w="959"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rPr>
              <w:t xml:space="preserve">岗亭移装</w:t>
            </w:r>
            <w:r/>
          </w:p>
        </w:tc>
        <w:tc>
          <w:tcPr>
            <w:tcW w:w="1208" w:type="dxa"/>
            <w:vAlign w:val="center"/>
            <w:textDirection w:val="lrTb"/>
            <w:noWrap/>
          </w:tcPr>
          <w:p>
            <w:pPr>
              <w:numPr>
                <w:ilvl w:val="0"/>
                <w:numId w:val="0"/>
              </w:numPr>
              <w:jc w:val="lef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地面基础改造</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地面基础改造，满足岗亭安装需求</w:t>
            </w:r>
            <w:r/>
          </w:p>
        </w:tc>
        <w:tc>
          <w:tcPr>
            <w:tcW w:w="974"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项</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both"/>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小计：</w:t>
            </w:r>
            <w:r>
              <w:rPr>
                <w:rFonts w:hint="eastAsia" w:ascii="宋体" w:hAnsi="宋体" w:cs="宋体"/>
                <w:b/>
                <w:bCs/>
                <w:sz w:val="24"/>
                <w:highlight w:val="none"/>
              </w:rPr>
              <w:t xml:space="preserve">　</w:t>
            </w:r>
            <w:r/>
          </w:p>
        </w:tc>
        <w:tc>
          <w:tcPr>
            <w:tcW w:w="1250" w:type="dxa"/>
            <w:vAlign w:val="center"/>
            <w:textDirection w:val="lrTb"/>
            <w:noWrap/>
          </w:tcPr>
          <w:p>
            <w:pPr>
              <w:jc w:val="center"/>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gridSpan w:val="2"/>
            <w:tcW w:w="2125"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十二、其他配套基础设施</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74"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73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57"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916"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959"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　</w:t>
            </w:r>
            <w:r/>
          </w:p>
        </w:tc>
        <w:tc>
          <w:tcPr>
            <w:tcW w:w="1208"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c>
          <w:tcPr>
            <w:tcW w:w="1250" w:type="dxa"/>
            <w:vAlign w:val="center"/>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b/>
                <w:bCs/>
                <w:sz w:val="24"/>
                <w:highlight w:val="none"/>
              </w:rPr>
              <w:t xml:space="preserve">其他配套基础设施</w:t>
            </w:r>
            <w:r/>
          </w:p>
        </w:tc>
        <w:tc>
          <w:tcPr>
            <w:tcW w:w="1208" w:type="dxa"/>
            <w:vAlign w:val="center"/>
            <w:textDirection w:val="lrTb"/>
            <w:noWrap/>
          </w:tcPr>
          <w:p>
            <w:pPr>
              <w:jc w:val="left"/>
              <w:widowControl/>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项 </w:t>
            </w:r>
            <w:r/>
          </w:p>
        </w:tc>
        <w:tc>
          <w:tcPr>
            <w:tcW w:w="959"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1208" w:type="dxa"/>
            <w:vAlign w:val="center"/>
            <w:textDirection w:val="lrTb"/>
            <w:noWrap/>
          </w:tcPr>
          <w:p>
            <w:pPr>
              <w:jc w:val="center"/>
              <w:widowControl/>
              <w:rPr>
                <w:rFonts w:hint="default" w:ascii="宋体" w:hAnsi="宋体" w:cs="宋体"/>
                <w:sz w:val="24"/>
                <w:highlight w:val="none"/>
                <w:lang w:val="en-US"/>
              </w:rPr>
            </w:pPr>
            <w:r>
              <w:rPr>
                <w:rFonts w:hint="default" w:ascii="宋体" w:hAnsi="宋体" w:cs="宋体"/>
                <w:sz w:val="24"/>
                <w:highlight w:val="none"/>
                <w:lang w:val="en-US"/>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禁鸣标志</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禁鸣标志标志牌，δ=3.0mm，φ800mm</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25</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限速标志</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限速标志标志牌，δ=3.0mm，φ800mm</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解除限速</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解除限速标志牌，δ=3.0mm，φ800mm</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5</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学校区域减速慢行</w:t>
            </w:r>
            <w:r/>
          </w:p>
        </w:tc>
        <w:tc>
          <w:tcPr>
            <w:tcW w:w="1208"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学校区域减速慢行标志牌，δ=3.0mm，800mm*800mm*800mm</w:t>
            </w:r>
            <w:r/>
          </w:p>
        </w:tc>
        <w:tc>
          <w:tcPr>
            <w:tcW w:w="974"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736"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57"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套</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t xml:space="preserve">传输线路</w:t>
            </w:r>
            <w:r/>
          </w:p>
        </w:tc>
        <w:tc>
          <w:tcPr>
            <w:gridSpan w:val="3"/>
            <w:tcW w:w="291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传输线路租赁费，5年服务期，不低于千兆带宽，保证前端所有设备数据安全回传，不得有卡顿、跳帧、延时等（前端提供双千兆网口接入端口）</w:t>
            </w:r>
            <w:r/>
          </w:p>
        </w:tc>
        <w:tc>
          <w:tcPr>
            <w:tcW w:w="957"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点位</w:t>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20</w:t>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tcW w:w="736" w:type="dxa"/>
            <w:vAlign w:val="center"/>
            <w:textDirection w:val="lrTb"/>
            <w:noWrap/>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389" w:type="dxa"/>
            <w:vAlign w:val="center"/>
            <w:textDirection w:val="lrTb"/>
            <w:noWrap/>
          </w:tcPr>
          <w:p>
            <w:pPr>
              <w:jc w:val="left"/>
              <w:widowControl/>
              <w:rPr>
                <w:rFonts w:hint="eastAsia" w:ascii="宋体" w:hAnsi="宋体" w:cs="宋体"/>
                <w:sz w:val="24"/>
                <w:highlight w:val="none"/>
              </w:rPr>
            </w:pPr>
            <w:r>
              <w:rPr>
                <w:rFonts w:hint="eastAsia" w:ascii="宋体" w:hAnsi="宋体" w:cs="宋体"/>
                <w:sz w:val="24"/>
                <w:highlight w:val="none"/>
              </w:rPr>
            </w:r>
            <w:r/>
          </w:p>
        </w:tc>
        <w:tc>
          <w:tcPr>
            <w:gridSpan w:val="3"/>
            <w:tcW w:w="2918"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p>
        </w:tc>
        <w:tc>
          <w:tcPr>
            <w:tcW w:w="957" w:type="dxa"/>
            <w:vAlign w:val="center"/>
            <w:textDirection w:val="lrTb"/>
            <w:noWrap/>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916"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959"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08"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r>
        <w:trPr>
          <w:trHeight w:val="402"/>
        </w:trPr>
        <w:tc>
          <w:tcPr>
            <w:gridSpan w:val="9"/>
            <w:tcW w:w="9083" w:type="dxa"/>
            <w:vAlign w:val="center"/>
            <w:textDirection w:val="lrTb"/>
            <w:noWrap/>
          </w:tcPr>
          <w:p>
            <w:pPr>
              <w:jc w:val="center"/>
              <w:widowControl/>
              <w:rPr>
                <w:rFonts w:hint="eastAsia" w:ascii="宋体" w:hAnsi="宋体" w:cs="宋体"/>
                <w:sz w:val="24"/>
                <w:highlight w:val="none"/>
              </w:rPr>
            </w:pPr>
            <w:r>
              <w:rPr>
                <w:rFonts w:hint="eastAsia" w:ascii="宋体" w:hAnsi="宋体" w:cs="宋体"/>
                <w:color w:val="000000"/>
                <w:highlight w:val="none"/>
              </w:rPr>
              <w:t xml:space="preserve">投标总报价（人民币：元）</w:t>
            </w:r>
            <w:r/>
          </w:p>
        </w:tc>
        <w:tc>
          <w:tcPr>
            <w:tcW w:w="1250"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r>
            <w:r/>
          </w:p>
        </w:tc>
      </w:tr>
    </w:tbl>
    <w:p>
      <w:pPr>
        <w:pStyle w:val="931"/>
        <w:ind w:left="0" w:right="147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931"/>
        <w:ind w:left="0" w:right="1470"/>
        <w:jc w:val="center"/>
        <w:rPr>
          <w:rFonts w:hint="default" w:ascii="黑体" w:eastAsia="宋体"/>
          <w:b/>
          <w:bCs/>
          <w:color w:val="auto"/>
          <w:highlight w:val="none"/>
          <w:lang w:val="en-US" w:eastAsia="zh-CN"/>
        </w:rPr>
      </w:pP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智慧岗亭（外径尺寸：室内面积3.6米*8米，约28.8平米）</w:t>
      </w:r>
      <w:r>
        <w:rPr>
          <w:rFonts w:hint="eastAsia" w:ascii="宋体" w:hAnsi="宋体" w:cs="宋体"/>
          <w:b/>
          <w:bCs/>
          <w:color w:val="auto"/>
          <w:sz w:val="24"/>
          <w:highlight w:val="none"/>
          <w:lang w:val="en-US" w:eastAsia="zh-CN"/>
        </w:rPr>
        <w:t xml:space="preserve">分项明细报价表</w:t>
      </w:r>
      <w:r/>
    </w:p>
    <w:p>
      <w:pPr>
        <w:pStyle w:val="931"/>
        <w:ind w:left="0" w:right="1470"/>
        <w:jc w:val="right"/>
        <w:rPr>
          <w:rFonts w:hint="default" w:ascii="黑体" w:eastAsia="黑体"/>
          <w:highlight w:val="none"/>
        </w:rPr>
      </w:pPr>
      <w:r>
        <w:rPr>
          <w:rFonts w:ascii="黑体" w:eastAsia="黑体"/>
          <w:highlight w:val="none"/>
        </w:rPr>
        <w:t xml:space="preserve">人民币：元</w:t>
      </w:r>
      <w:r/>
    </w:p>
    <w:tbl>
      <w:tblPr>
        <w:tblStyle w:val="742"/>
        <w:tblW w:w="10354" w:type="dxa"/>
        <w:tblCellSpacing w:w="0" w:type="dxa"/>
        <w:tblInd w:w="-1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837"/>
        <w:gridCol w:w="905"/>
        <w:gridCol w:w="1298"/>
        <w:gridCol w:w="746"/>
        <w:gridCol w:w="918"/>
        <w:gridCol w:w="696"/>
        <w:gridCol w:w="1780"/>
        <w:gridCol w:w="1238"/>
      </w:tblGrid>
      <w:tr>
        <w:trPr>
          <w:tblCellSpacing w:w="0" w:type="dxa"/>
          <w:trHeight w:val="544"/>
        </w:trPr>
        <w:tc>
          <w:tcPr>
            <w:tcW w:w="93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序号</w:t>
            </w:r>
            <w:r/>
          </w:p>
        </w:tc>
        <w:tc>
          <w:tcPr>
            <w:tcW w:w="1837"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1</w:t>
            </w:r>
            <w:r/>
          </w:p>
        </w:tc>
        <w:tc>
          <w:tcPr>
            <w:tcW w:w="905"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2</w:t>
            </w:r>
            <w:r/>
          </w:p>
        </w:tc>
        <w:tc>
          <w:tcPr>
            <w:tcW w:w="129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3</w:t>
            </w:r>
            <w:r/>
          </w:p>
        </w:tc>
        <w:tc>
          <w:tcPr>
            <w:tcW w:w="74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4</w:t>
            </w:r>
            <w:r/>
          </w:p>
        </w:tc>
        <w:tc>
          <w:tcPr>
            <w:tcW w:w="91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5</w:t>
            </w:r>
            <w:r/>
          </w:p>
        </w:tc>
        <w:tc>
          <w:tcPr>
            <w:tcW w:w="69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6</w:t>
            </w:r>
            <w:r/>
          </w:p>
        </w:tc>
        <w:tc>
          <w:tcPr>
            <w:tcW w:w="1780"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7</w:t>
            </w:r>
            <w:r/>
          </w:p>
        </w:tc>
        <w:tc>
          <w:tcPr>
            <w:tcW w:w="123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8</w:t>
            </w:r>
            <w:r/>
          </w:p>
        </w:tc>
      </w:tr>
      <w:tr>
        <w:trPr>
          <w:tblCellSpacing w:w="0" w:type="dxa"/>
          <w:trHeight w:val="294"/>
        </w:trPr>
        <w:tc>
          <w:tcPr>
            <w:tcW w:w="936" w:type="dxa"/>
            <w:vAlign w:val="center"/>
            <w:textDirection w:val="lrTb"/>
            <w:noWrap w:val="false"/>
          </w:tcPr>
          <w:p>
            <w:pPr>
              <w:pStyle w:val="759"/>
              <w:jc w:val="center"/>
              <w:spacing w:beforeAutospacing="0" w:afterAutospacing="0" w:line="0" w:lineRule="atLeast"/>
              <w:rPr>
                <w:highlight w:val="none"/>
              </w:rPr>
            </w:pPr>
            <w:r>
              <w:rPr>
                <w:highlight w:val="none"/>
              </w:rPr>
            </w:r>
            <w:r/>
          </w:p>
        </w:tc>
        <w:tc>
          <w:tcPr>
            <w:tcW w:w="1837"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产品</w:t>
            </w:r>
            <w:r/>
          </w:p>
          <w:p>
            <w:pPr>
              <w:pStyle w:val="759"/>
              <w:jc w:val="center"/>
              <w:spacing w:beforeAutospacing="0" w:afterAutospacing="0" w:line="0" w:lineRule="atLeast"/>
              <w:rPr>
                <w:highlight w:val="none"/>
              </w:rPr>
            </w:pPr>
            <w:r>
              <w:rPr>
                <w:rFonts w:hint="eastAsia" w:ascii="宋体" w:hAnsi="宋体" w:cs="宋体"/>
                <w:color w:val="000000"/>
                <w:highlight w:val="none"/>
              </w:rPr>
              <w:t xml:space="preserve">名称</w:t>
            </w:r>
            <w:r/>
          </w:p>
        </w:tc>
        <w:tc>
          <w:tcPr>
            <w:tcW w:w="905"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品牌</w:t>
            </w:r>
            <w:r/>
          </w:p>
        </w:tc>
        <w:tc>
          <w:tcPr>
            <w:tcW w:w="129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规格</w:t>
            </w:r>
            <w:r/>
          </w:p>
          <w:p>
            <w:pPr>
              <w:pStyle w:val="759"/>
              <w:jc w:val="center"/>
              <w:spacing w:beforeAutospacing="0" w:afterAutospacing="0" w:line="0" w:lineRule="atLeast"/>
              <w:rPr>
                <w:highlight w:val="none"/>
              </w:rPr>
            </w:pPr>
            <w:r>
              <w:rPr>
                <w:rFonts w:hint="eastAsia" w:ascii="宋体" w:hAnsi="宋体" w:cs="宋体"/>
                <w:color w:val="000000"/>
                <w:highlight w:val="none"/>
              </w:rPr>
              <w:t xml:space="preserve">型号</w:t>
            </w:r>
            <w:r/>
          </w:p>
        </w:tc>
        <w:tc>
          <w:tcPr>
            <w:tcW w:w="74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产地</w:t>
            </w:r>
            <w:r/>
          </w:p>
        </w:tc>
        <w:tc>
          <w:tcPr>
            <w:tcW w:w="91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交付期</w:t>
            </w:r>
            <w:r/>
          </w:p>
        </w:tc>
        <w:tc>
          <w:tcPr>
            <w:tcW w:w="69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数量</w:t>
            </w:r>
            <w:r/>
          </w:p>
        </w:tc>
        <w:tc>
          <w:tcPr>
            <w:tcW w:w="1780"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分项单价</w:t>
            </w:r>
            <w:r/>
          </w:p>
        </w:tc>
        <w:tc>
          <w:tcPr>
            <w:tcW w:w="123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分项总价</w:t>
            </w:r>
            <w:r/>
          </w:p>
        </w:tc>
      </w:tr>
      <w:tr>
        <w:trPr>
          <w:tblCellSpacing w:w="0" w:type="dxa"/>
          <w:trHeight w:val="696"/>
        </w:trPr>
        <w:tc>
          <w:tcPr>
            <w:tcW w:w="936" w:type="dxa"/>
            <w:vAlign w:val="center"/>
            <w:textDirection w:val="lrTb"/>
            <w:noWrap w:val="false"/>
          </w:tcPr>
          <w:p>
            <w:pPr>
              <w:jc w:val="center"/>
              <w:widowControl/>
              <w:rPr>
                <w:color w:val="auto"/>
                <w:highlight w:val="none"/>
              </w:rPr>
            </w:pPr>
            <w:r>
              <w:rPr>
                <w:rFonts w:hint="eastAsia" w:ascii="宋体" w:hAnsi="宋体" w:cs="宋体"/>
                <w:color w:val="auto"/>
                <w:sz w:val="24"/>
                <w:highlight w:val="none"/>
              </w:rPr>
              <w:t xml:space="preserve">1</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装饰面</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tcW w:w="936" w:type="dxa"/>
            <w:vAlign w:val="center"/>
            <w:textDirection w:val="lrTb"/>
            <w:noWrap w:val="false"/>
          </w:tcPr>
          <w:p>
            <w:pPr>
              <w:jc w:val="center"/>
              <w:widowControl/>
              <w:rPr>
                <w:color w:val="auto"/>
                <w:highlight w:val="none"/>
              </w:rPr>
            </w:pPr>
            <w:r>
              <w:rPr>
                <w:rFonts w:hint="eastAsia" w:ascii="宋体" w:hAnsi="宋体" w:cs="宋体"/>
                <w:color w:val="auto"/>
                <w:sz w:val="24"/>
                <w:highlight w:val="none"/>
              </w:rPr>
              <w:t xml:space="preserve">2</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粘结层</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3</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地面基板</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4</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防潮层</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5</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构造龙骨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6</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墙面装饰板</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7</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钢龙骨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8</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保温材料</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9</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构造龙骨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10</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保温材料</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11</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装饰面</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12</w:t>
            </w:r>
            <w:r/>
          </w:p>
        </w:tc>
        <w:tc>
          <w:tcPr>
            <w:tcW w:w="1837" w:type="dxa"/>
            <w:vAlign w:val="center"/>
            <w:textDirection w:val="lrTb"/>
            <w:noWrap w:val="false"/>
          </w:tcPr>
          <w:p>
            <w:pPr>
              <w:jc w:val="left"/>
              <w:widowControl/>
              <w:rPr>
                <w:rFonts w:hint="default" w:eastAsia="宋体"/>
                <w:color w:val="auto"/>
                <w:highlight w:val="none"/>
                <w:lang w:val="en-US" w:eastAsia="zh-CN"/>
              </w:rPr>
            </w:pPr>
            <w:r>
              <w:rPr>
                <w:rFonts w:hint="eastAsia"/>
                <w:color w:val="auto"/>
                <w:highlight w:val="none"/>
                <w:lang w:val="en-US" w:eastAsia="zh-CN"/>
              </w:rPr>
              <w:t xml:space="preserve">基本要求</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13</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装饰面</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14</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隔音层</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15</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钢龙骨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16</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滑动墙体</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17</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屋面防水</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18</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屋面基板</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19</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屋面保温</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20</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钢丝网</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21</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钢檩条</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22</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钢梁</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23</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隔热空腔</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24</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吊顶龙骨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25</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室内吊顶</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26</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室内吊顶</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27</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帽檐钢龙骨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28</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帽檐以及其它造型</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29</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室内窗套</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30</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平开窗</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31</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入户门</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sz w:val="24"/>
                <w:highlight w:val="none"/>
              </w:rPr>
              <w:t xml:space="preserve">32</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配电系统</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电力电缆</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34</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插座电源</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电源开关</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 xml:space="preserve">36</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弱电线路</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sz w:val="24"/>
                <w:highlight w:val="none"/>
                <w:lang w:val="en-US" w:eastAsia="zh-CN"/>
              </w:rPr>
              <w:t xml:space="preserve">37</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lang w:bidi="ar"/>
              </w:rPr>
              <w:t xml:space="preserve">灯光装饰</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38</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冷暖温控设备安装位，含进出风管路预埋及供电接口</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39</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警务音频扩声及喊话系统安装位</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40</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执勤操作台基础基座、壁挂式置物固定位，满足设备布设及日常执勤需求</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41</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警务信息化办公终端布设位，含多组网络接口、电源接口及操作基座</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42</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室外灯箱</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43</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监控及门禁</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44</w:t>
            </w:r>
            <w:r/>
          </w:p>
        </w:tc>
        <w:tc>
          <w:tcPr>
            <w:tcW w:w="1837" w:type="dxa"/>
            <w:vAlign w:val="center"/>
            <w:textDirection w:val="lrTb"/>
            <w:noWrap w:val="false"/>
          </w:tcPr>
          <w:p>
            <w:pPr>
              <w:jc w:val="left"/>
              <w:widowControl/>
              <w:rPr>
                <w:color w:val="auto"/>
                <w:highlight w:val="none"/>
              </w:rPr>
            </w:pPr>
            <w:r>
              <w:rPr>
                <w:rFonts w:hint="eastAsia" w:ascii="宋体" w:hAnsi="宋体" w:cs="宋体"/>
                <w:color w:val="auto"/>
                <w:sz w:val="24"/>
                <w:highlight w:val="none"/>
              </w:rPr>
              <w:t xml:space="preserve">爆闪灯+亚克力字+警徽</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r>
            <w:r/>
          </w:p>
        </w:tc>
      </w:tr>
      <w:tr>
        <w:trPr>
          <w:tblCellSpacing w:w="0" w:type="dxa"/>
          <w:trHeight w:val="580"/>
        </w:trPr>
        <w:tc>
          <w:tcPr>
            <w:tcW w:w="936" w:type="dxa"/>
            <w:vAlign w:val="center"/>
            <w:textDirection w:val="lrTb"/>
            <w:noWrap w:val="false"/>
          </w:tcPr>
          <w:p>
            <w:pPr>
              <w:pStyle w:val="759"/>
              <w:jc w:val="center"/>
              <w:spacing w:beforeAutospacing="0" w:afterAutospacing="0" w:line="0" w:lineRule="atLeast"/>
              <w:rPr>
                <w:color w:val="auto"/>
                <w:highlight w:val="none"/>
              </w:rPr>
            </w:pPr>
            <w:r>
              <w:rPr>
                <w:rFonts w:hint="eastAsia" w:ascii="宋体" w:hAnsi="宋体" w:cs="宋体"/>
                <w:color w:val="auto"/>
                <w:highlight w:val="none"/>
              </w:rPr>
              <w:t xml:space="preserve">…</w:t>
            </w:r>
            <w:r/>
          </w:p>
        </w:tc>
        <w:tc>
          <w:tcPr>
            <w:tcW w:w="1837" w:type="dxa"/>
            <w:vAlign w:val="center"/>
            <w:textDirection w:val="lrTb"/>
            <w:noWrap w:val="false"/>
          </w:tcPr>
          <w:p>
            <w:pPr>
              <w:pStyle w:val="759"/>
              <w:jc w:val="both"/>
              <w:spacing w:beforeAutospacing="0" w:afterAutospacing="0" w:line="0" w:lineRule="atLeast"/>
              <w:rPr>
                <w:color w:val="auto"/>
                <w:highlight w:val="none"/>
              </w:rPr>
            </w:pPr>
            <w:r>
              <w:rPr>
                <w:rFonts w:hint="eastAsia" w:ascii="宋体" w:hAnsi="宋体" w:cs="宋体"/>
                <w:color w:val="auto"/>
                <w:highlight w:val="none"/>
              </w:rPr>
              <w:t xml:space="preserve">……</w:t>
            </w:r>
            <w:r/>
          </w:p>
        </w:tc>
        <w:tc>
          <w:tcPr>
            <w:tcW w:w="905"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9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74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91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696"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780"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c>
          <w:tcPr>
            <w:tcW w:w="1238" w:type="dxa"/>
            <w:vAlign w:val="center"/>
            <w:textDirection w:val="lrTb"/>
            <w:noWrap w:val="false"/>
          </w:tcPr>
          <w:p>
            <w:pPr>
              <w:pStyle w:val="7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16"/>
        </w:trPr>
        <w:tc>
          <w:tcPr>
            <w:gridSpan w:val="8"/>
            <w:tcW w:w="9116" w:type="dxa"/>
            <w:vAlign w:val="center"/>
            <w:textDirection w:val="lrTb"/>
            <w:noWrap w:val="false"/>
          </w:tcPr>
          <w:p>
            <w:pPr>
              <w:pStyle w:val="759"/>
              <w:jc w:val="center"/>
              <w:spacing w:beforeAutospacing="0" w:afterAutospacing="0"/>
              <w:rPr>
                <w:color w:val="auto"/>
                <w:highlight w:val="none"/>
              </w:rPr>
            </w:pPr>
            <w:r>
              <w:rPr>
                <w:rFonts w:hint="eastAsia" w:ascii="宋体" w:hAnsi="宋体" w:cs="宋体"/>
                <w:color w:val="auto"/>
                <w:highlight w:val="none"/>
              </w:rPr>
              <w:t xml:space="preserve">投标总报价（人民币：元）</w:t>
            </w:r>
            <w:r/>
          </w:p>
        </w:tc>
        <w:tc>
          <w:tcPr>
            <w:tcW w:w="1238" w:type="dxa"/>
            <w:vAlign w:val="center"/>
            <w:textDirection w:val="lrTb"/>
            <w:noWrap w:val="false"/>
          </w:tcPr>
          <w:p>
            <w:pPr>
              <w:pStyle w:val="759"/>
              <w:jc w:val="both"/>
              <w:spacing w:beforeAutospacing="0" w:afterAutospacing="0"/>
              <w:rPr>
                <w:color w:val="auto"/>
                <w:highlight w:val="none"/>
              </w:rPr>
            </w:pPr>
            <w:r>
              <w:rPr>
                <w:color w:val="auto"/>
                <w:highlight w:val="none"/>
              </w:rPr>
              <w:t xml:space="preserve"> </w:t>
            </w:r>
            <w:r/>
          </w:p>
        </w:tc>
      </w:tr>
    </w:tbl>
    <w:p>
      <w:pPr>
        <w:spacing w:line="500" w:lineRule="exact"/>
        <w:rPr>
          <w:rFonts w:hint="eastAsia" w:ascii="宋体" w:hAnsi="宋体" w:cs="宋体"/>
          <w:b/>
          <w:bCs/>
          <w:color w:val="auto"/>
          <w:sz w:val="24"/>
        </w:rPr>
      </w:pPr>
      <w:r>
        <w:rPr>
          <w:rFonts w:hint="eastAsia" w:ascii="宋体" w:hAnsi="宋体" w:cs="宋体"/>
          <w:b/>
          <w:bCs/>
          <w:color w:val="auto"/>
          <w:sz w:val="24"/>
        </w:rPr>
      </w:r>
      <w:r/>
    </w:p>
    <w:p>
      <w:pPr>
        <w:spacing w:line="500" w:lineRule="exact"/>
        <w:rPr>
          <w:rFonts w:hint="default" w:ascii="宋体" w:hAnsi="宋体" w:eastAsia="宋体" w:cs="宋体"/>
          <w:b/>
          <w:bCs/>
          <w:color w:val="auto"/>
          <w:sz w:val="24"/>
          <w:lang w:val="en-US" w:eastAsia="zh-CN"/>
        </w:rPr>
      </w:pPr>
      <w:r>
        <w:rPr>
          <w:rFonts w:hint="eastAsia" w:ascii="宋体" w:hAnsi="宋体" w:cs="宋体"/>
          <w:b/>
          <w:bCs/>
          <w:color w:val="auto"/>
          <w:sz w:val="24"/>
        </w:rPr>
        <w:t xml:space="preserve">智慧岗亭（外径尺寸：室内面积3米*3米，约9平米）</w:t>
      </w:r>
      <w:r>
        <w:rPr>
          <w:rFonts w:hint="eastAsia" w:ascii="宋体" w:hAnsi="宋体" w:cs="宋体"/>
          <w:b/>
          <w:bCs/>
          <w:color w:val="auto"/>
          <w:sz w:val="24"/>
          <w:lang w:val="en-US" w:eastAsia="zh-CN"/>
        </w:rPr>
        <w:t xml:space="preserve">分项明细报价表</w:t>
      </w:r>
      <w:r/>
    </w:p>
    <w:p>
      <w:pPr>
        <w:pStyle w:val="931"/>
        <w:ind w:left="0" w:right="1470"/>
        <w:jc w:val="right"/>
        <w:rPr>
          <w:rFonts w:hint="default" w:ascii="黑体" w:eastAsia="黑体"/>
          <w:highlight w:val="none"/>
        </w:rPr>
      </w:pPr>
      <w:r>
        <w:rPr>
          <w:rFonts w:ascii="黑体" w:eastAsia="黑体"/>
          <w:highlight w:val="none"/>
        </w:rPr>
        <w:t xml:space="preserve">人民币：元</w:t>
      </w:r>
      <w:r/>
    </w:p>
    <w:tbl>
      <w:tblPr>
        <w:tblStyle w:val="742"/>
        <w:tblW w:w="10354" w:type="dxa"/>
        <w:tblCellSpacing w:w="0" w:type="dxa"/>
        <w:tblInd w:w="-1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837"/>
        <w:gridCol w:w="905"/>
        <w:gridCol w:w="1298"/>
        <w:gridCol w:w="746"/>
        <w:gridCol w:w="918"/>
        <w:gridCol w:w="696"/>
        <w:gridCol w:w="1780"/>
        <w:gridCol w:w="1238"/>
      </w:tblGrid>
      <w:tr>
        <w:trPr>
          <w:tblCellSpacing w:w="0" w:type="dxa"/>
          <w:trHeight w:val="544"/>
        </w:trPr>
        <w:tc>
          <w:tcPr>
            <w:tcW w:w="93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序号</w:t>
            </w:r>
            <w:r/>
          </w:p>
        </w:tc>
        <w:tc>
          <w:tcPr>
            <w:tcW w:w="1837"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1</w:t>
            </w:r>
            <w:r/>
          </w:p>
        </w:tc>
        <w:tc>
          <w:tcPr>
            <w:tcW w:w="905"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2</w:t>
            </w:r>
            <w:r/>
          </w:p>
        </w:tc>
        <w:tc>
          <w:tcPr>
            <w:tcW w:w="129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3</w:t>
            </w:r>
            <w:r/>
          </w:p>
        </w:tc>
        <w:tc>
          <w:tcPr>
            <w:tcW w:w="74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4</w:t>
            </w:r>
            <w:r/>
          </w:p>
        </w:tc>
        <w:tc>
          <w:tcPr>
            <w:tcW w:w="91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5</w:t>
            </w:r>
            <w:r/>
          </w:p>
        </w:tc>
        <w:tc>
          <w:tcPr>
            <w:tcW w:w="69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6</w:t>
            </w:r>
            <w:r/>
          </w:p>
        </w:tc>
        <w:tc>
          <w:tcPr>
            <w:tcW w:w="1780"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7</w:t>
            </w:r>
            <w:r/>
          </w:p>
        </w:tc>
        <w:tc>
          <w:tcPr>
            <w:tcW w:w="123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8</w:t>
            </w:r>
            <w:r/>
          </w:p>
        </w:tc>
      </w:tr>
      <w:tr>
        <w:trPr>
          <w:tblCellSpacing w:w="0" w:type="dxa"/>
          <w:trHeight w:val="294"/>
        </w:trPr>
        <w:tc>
          <w:tcPr>
            <w:tcW w:w="936" w:type="dxa"/>
            <w:vAlign w:val="center"/>
            <w:textDirection w:val="lrTb"/>
            <w:noWrap w:val="false"/>
          </w:tcPr>
          <w:p>
            <w:pPr>
              <w:pStyle w:val="759"/>
              <w:jc w:val="center"/>
              <w:spacing w:beforeAutospacing="0" w:afterAutospacing="0" w:line="0" w:lineRule="atLeast"/>
              <w:rPr>
                <w:highlight w:val="none"/>
              </w:rPr>
            </w:pPr>
            <w:r>
              <w:rPr>
                <w:highlight w:val="none"/>
              </w:rPr>
            </w:r>
            <w:r/>
          </w:p>
        </w:tc>
        <w:tc>
          <w:tcPr>
            <w:tcW w:w="1837"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产品</w:t>
            </w:r>
            <w:r/>
          </w:p>
          <w:p>
            <w:pPr>
              <w:pStyle w:val="759"/>
              <w:jc w:val="center"/>
              <w:spacing w:beforeAutospacing="0" w:afterAutospacing="0" w:line="0" w:lineRule="atLeast"/>
              <w:rPr>
                <w:highlight w:val="none"/>
              </w:rPr>
            </w:pPr>
            <w:r>
              <w:rPr>
                <w:rFonts w:hint="eastAsia" w:ascii="宋体" w:hAnsi="宋体" w:cs="宋体"/>
                <w:color w:val="000000"/>
                <w:highlight w:val="none"/>
              </w:rPr>
              <w:t xml:space="preserve">名称</w:t>
            </w:r>
            <w:r/>
          </w:p>
        </w:tc>
        <w:tc>
          <w:tcPr>
            <w:tcW w:w="905"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品牌</w:t>
            </w:r>
            <w:r/>
          </w:p>
        </w:tc>
        <w:tc>
          <w:tcPr>
            <w:tcW w:w="129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规格</w:t>
            </w:r>
            <w:r/>
          </w:p>
          <w:p>
            <w:pPr>
              <w:pStyle w:val="759"/>
              <w:jc w:val="center"/>
              <w:spacing w:beforeAutospacing="0" w:afterAutospacing="0" w:line="0" w:lineRule="atLeast"/>
              <w:rPr>
                <w:highlight w:val="none"/>
              </w:rPr>
            </w:pPr>
            <w:r>
              <w:rPr>
                <w:rFonts w:hint="eastAsia" w:ascii="宋体" w:hAnsi="宋体" w:cs="宋体"/>
                <w:color w:val="000000"/>
                <w:highlight w:val="none"/>
              </w:rPr>
              <w:t xml:space="preserve">型号</w:t>
            </w:r>
            <w:r/>
          </w:p>
        </w:tc>
        <w:tc>
          <w:tcPr>
            <w:tcW w:w="74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产地</w:t>
            </w:r>
            <w:r/>
          </w:p>
        </w:tc>
        <w:tc>
          <w:tcPr>
            <w:tcW w:w="91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交付期</w:t>
            </w:r>
            <w:r/>
          </w:p>
        </w:tc>
        <w:tc>
          <w:tcPr>
            <w:tcW w:w="69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数量</w:t>
            </w:r>
            <w:r/>
          </w:p>
        </w:tc>
        <w:tc>
          <w:tcPr>
            <w:tcW w:w="1780"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分项单价</w:t>
            </w:r>
            <w:r/>
          </w:p>
        </w:tc>
        <w:tc>
          <w:tcPr>
            <w:tcW w:w="1238"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分项总价</w:t>
            </w:r>
            <w:r/>
          </w:p>
        </w:tc>
      </w:tr>
      <w:tr>
        <w:trPr>
          <w:tblCellSpacing w:w="0" w:type="dxa"/>
          <w:trHeight w:val="696"/>
        </w:trPr>
        <w:tc>
          <w:tcPr>
            <w:tcW w:w="936" w:type="dxa"/>
            <w:vAlign w:val="center"/>
            <w:textDirection w:val="lrTb"/>
            <w:noWrap w:val="false"/>
          </w:tcPr>
          <w:p>
            <w:pPr>
              <w:jc w:val="center"/>
              <w:widowControl/>
              <w:rPr>
                <w:highlight w:val="none"/>
              </w:rPr>
            </w:pPr>
            <w:r>
              <w:rPr>
                <w:rFonts w:hint="eastAsia" w:ascii="宋体" w:hAnsi="宋体" w:cs="宋体"/>
                <w:sz w:val="24"/>
                <w:highlight w:val="none"/>
              </w:rPr>
              <w:t xml:space="preserve">1</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装饰面</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r>
      <w:tr>
        <w:trPr>
          <w:tblCellSpacing w:w="0" w:type="dxa"/>
          <w:trHeight w:val="724"/>
        </w:trPr>
        <w:tc>
          <w:tcPr>
            <w:tcW w:w="936" w:type="dxa"/>
            <w:vAlign w:val="center"/>
            <w:textDirection w:val="lrTb"/>
            <w:noWrap w:val="false"/>
          </w:tcPr>
          <w:p>
            <w:pPr>
              <w:jc w:val="center"/>
              <w:widowControl/>
              <w:rPr>
                <w:highlight w:val="none"/>
              </w:rPr>
            </w:pPr>
            <w:r>
              <w:rPr>
                <w:rFonts w:hint="eastAsia" w:ascii="宋体" w:hAnsi="宋体" w:cs="宋体"/>
                <w:sz w:val="24"/>
                <w:highlight w:val="none"/>
              </w:rPr>
              <w:t xml:space="preserve">2</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粘结层</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3</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地面基板</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4</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防潮层</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5</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构造龙骨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6</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墙面装饰板</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7</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钢龙骨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8</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保温材料</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9</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构造龙骨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10</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保温材料</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11</w:t>
            </w:r>
            <w:r/>
          </w:p>
        </w:tc>
        <w:tc>
          <w:tcPr>
            <w:tcW w:w="1837" w:type="dxa"/>
            <w:vAlign w:val="center"/>
            <w:textDirection w:val="lrTb"/>
            <w:noWrap w:val="false"/>
          </w:tcPr>
          <w:p>
            <w:pPr>
              <w:jc w:val="left"/>
              <w:widowControl/>
              <w:rPr>
                <w:rFonts w:hint="default" w:eastAsia="宋体"/>
                <w:highlight w:val="none"/>
                <w:lang w:val="en-US" w:eastAsia="zh-CN"/>
              </w:rPr>
            </w:pPr>
            <w:r>
              <w:rPr>
                <w:rFonts w:hint="eastAsia" w:ascii="宋体" w:hAnsi="宋体" w:cs="宋体"/>
                <w:color w:val="000000"/>
                <w:sz w:val="24"/>
                <w:highlight w:val="none"/>
                <w:lang w:bidi="ar"/>
              </w:rPr>
              <w:t xml:space="preserve">装饰面</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12</w:t>
            </w:r>
            <w:r/>
          </w:p>
        </w:tc>
        <w:tc>
          <w:tcPr>
            <w:tcW w:w="1837" w:type="dxa"/>
            <w:vAlign w:val="center"/>
            <w:textDirection w:val="lrTb"/>
            <w:noWrap w:val="false"/>
          </w:tcPr>
          <w:p>
            <w:pPr>
              <w:jc w:val="left"/>
              <w:widowControl/>
              <w:rPr>
                <w:highlight w:val="none"/>
              </w:rPr>
            </w:pPr>
            <w:r>
              <w:rPr>
                <w:rFonts w:hint="eastAsia" w:ascii="宋体" w:hAnsi="宋体" w:cs="宋体"/>
                <w:sz w:val="24"/>
                <w:highlight w:val="none"/>
                <w:lang w:val="en-US" w:eastAsia="zh-CN"/>
              </w:rPr>
              <w:t xml:space="preserve">基本要求</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13</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屋面防水</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14</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屋面基板</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15</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屋面保温</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16</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钢丝网</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17</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钢檩条</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18</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钢梁</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19</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隔热空腔</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sz w:val="24"/>
                <w:highlight w:val="none"/>
              </w:rPr>
              <w:t xml:space="preserve">20</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吊顶龙骨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21</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室内吊顶</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22</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帽檐钢龙骨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23</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帽檐以及其它造型</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24</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室内窗套</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25</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平开窗</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26</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入户门</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27</w:t>
            </w:r>
            <w:r/>
          </w:p>
        </w:tc>
        <w:tc>
          <w:tcPr>
            <w:tcW w:w="1837" w:type="dxa"/>
            <w:vAlign w:val="center"/>
            <w:textDirection w:val="lrTb"/>
            <w:noWrap w:val="false"/>
          </w:tcPr>
          <w:p>
            <w:pPr>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配电系统</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28</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电力电缆</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29</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插座电源</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30</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电源开关</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31</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弱电线路</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sz w:val="24"/>
                <w:highlight w:val="none"/>
                <w:lang w:val="en-US" w:eastAsia="zh-CN"/>
              </w:rPr>
              <w:t xml:space="preserve">32</w:t>
            </w:r>
            <w:r/>
          </w:p>
        </w:tc>
        <w:tc>
          <w:tcPr>
            <w:tcW w:w="1837" w:type="dxa"/>
            <w:vAlign w:val="center"/>
            <w:textDirection w:val="lrTb"/>
            <w:noWrap w:val="false"/>
          </w:tcPr>
          <w:p>
            <w:pPr>
              <w:jc w:val="left"/>
              <w:widowControl/>
              <w:rPr>
                <w:highlight w:val="none"/>
              </w:rPr>
            </w:pPr>
            <w:r>
              <w:rPr>
                <w:rFonts w:hint="eastAsia" w:ascii="宋体" w:hAnsi="宋体" w:cs="宋体"/>
                <w:color w:val="000000"/>
                <w:sz w:val="24"/>
                <w:highlight w:val="none"/>
                <w:lang w:bidi="ar"/>
              </w:rPr>
              <w:t xml:space="preserve">灯光装饰</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33</w:t>
            </w:r>
            <w:r/>
          </w:p>
        </w:tc>
        <w:tc>
          <w:tcPr>
            <w:tcW w:w="1837" w:type="dxa"/>
            <w:vAlign w:val="center"/>
            <w:textDirection w:val="lrTb"/>
            <w:noWrap w:val="false"/>
          </w:tcPr>
          <w:p>
            <w:pPr>
              <w:jc w:val="center"/>
              <w:widowControl/>
              <w:rPr>
                <w:highlight w:val="none"/>
              </w:rPr>
            </w:pPr>
            <w:r>
              <w:rPr>
                <w:rFonts w:hint="eastAsia" w:ascii="宋体" w:hAnsi="宋体" w:cs="宋体"/>
                <w:sz w:val="24"/>
                <w:highlight w:val="none"/>
              </w:rPr>
              <w:t xml:space="preserve">高清宣教公示终端</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34</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高清宣教/公示类显示终端布设位，含电源、数据接口及安装基座</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35</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冷暖温控设备安装位，含进出风管路预埋及供电接口</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36</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警务音频扩声及喊话系统安装位</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37</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执勤操作台基础基座、壁挂式置物固定位，满足设备布设及日常执勤需求</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38</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警务信息化办公终端布设位，含多组网络接口、电源接口及操作基座</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39</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室外灯箱</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40</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监控及门禁</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41</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宣传教育专栏背景墙</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640"/>
        </w:trPr>
        <w:tc>
          <w:tcPr>
            <w:tcW w:w="936" w:type="dxa"/>
            <w:vAlign w:val="center"/>
            <w:textDirection w:val="lrTb"/>
            <w:noWrap w:val="false"/>
          </w:tcPr>
          <w:p>
            <w:pPr>
              <w:pStyle w:val="759"/>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42</w:t>
            </w:r>
            <w:r/>
          </w:p>
        </w:tc>
        <w:tc>
          <w:tcPr>
            <w:tcW w:w="1837" w:type="dxa"/>
            <w:vAlign w:val="center"/>
            <w:textDirection w:val="lrTb"/>
            <w:noWrap w:val="false"/>
          </w:tcPr>
          <w:p>
            <w:pPr>
              <w:jc w:val="center"/>
              <w:widowControl/>
              <w:rPr>
                <w:highlight w:val="none"/>
              </w:rPr>
            </w:pPr>
            <w:r>
              <w:rPr>
                <w:rFonts w:hint="eastAsia" w:ascii="宋体" w:hAnsi="宋体" w:cs="宋体"/>
                <w:sz w:val="24"/>
              </w:rPr>
              <w:t xml:space="preserve">爆闪灯+亚克力字+警徽</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r>
            <w:r/>
          </w:p>
        </w:tc>
      </w:tr>
      <w:tr>
        <w:trPr>
          <w:tblCellSpacing w:w="0" w:type="dxa"/>
          <w:trHeight w:val="580"/>
        </w:trPr>
        <w:tc>
          <w:tcPr>
            <w:tcW w:w="936" w:type="dxa"/>
            <w:vAlign w:val="center"/>
            <w:textDirection w:val="lrTb"/>
            <w:noWrap w:val="false"/>
          </w:tcPr>
          <w:p>
            <w:pPr>
              <w:pStyle w:val="759"/>
              <w:jc w:val="center"/>
              <w:spacing w:beforeAutospacing="0" w:afterAutospacing="0" w:line="0" w:lineRule="atLeast"/>
              <w:rPr>
                <w:highlight w:val="none"/>
              </w:rPr>
            </w:pPr>
            <w:r>
              <w:rPr>
                <w:rFonts w:hint="eastAsia" w:ascii="宋体" w:hAnsi="宋体" w:cs="宋体"/>
                <w:color w:val="000000"/>
                <w:highlight w:val="none"/>
              </w:rPr>
              <w:t xml:space="preserve">…</w:t>
            </w:r>
            <w:r/>
          </w:p>
        </w:tc>
        <w:tc>
          <w:tcPr>
            <w:tcW w:w="1837" w:type="dxa"/>
            <w:vAlign w:val="center"/>
            <w:textDirection w:val="lrTb"/>
            <w:noWrap w:val="false"/>
          </w:tcPr>
          <w:p>
            <w:pPr>
              <w:pStyle w:val="759"/>
              <w:jc w:val="both"/>
              <w:spacing w:beforeAutospacing="0" w:afterAutospacing="0" w:line="0" w:lineRule="atLeast"/>
              <w:rPr>
                <w:highlight w:val="none"/>
              </w:rPr>
            </w:pPr>
            <w:r>
              <w:rPr>
                <w:rFonts w:hint="eastAsia" w:ascii="宋体" w:hAnsi="宋体" w:cs="宋体"/>
                <w:color w:val="000000"/>
                <w:highlight w:val="none"/>
              </w:rPr>
              <w:t xml:space="preserve">……</w:t>
            </w:r>
            <w:r/>
          </w:p>
        </w:tc>
        <w:tc>
          <w:tcPr>
            <w:tcW w:w="905"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9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74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91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696"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780"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c>
          <w:tcPr>
            <w:tcW w:w="1238" w:type="dxa"/>
            <w:vAlign w:val="center"/>
            <w:textDirection w:val="lrTb"/>
            <w:noWrap w:val="false"/>
          </w:tcPr>
          <w:p>
            <w:pPr>
              <w:pStyle w:val="759"/>
              <w:jc w:val="both"/>
              <w:spacing w:beforeAutospacing="0" w:afterAutospacing="0" w:line="0" w:lineRule="atLeast"/>
              <w:rPr>
                <w:highlight w:val="none"/>
              </w:rPr>
            </w:pPr>
            <w:r>
              <w:rPr>
                <w:highlight w:val="none"/>
              </w:rPr>
              <w:t xml:space="preserve"> </w:t>
            </w:r>
            <w:r/>
          </w:p>
        </w:tc>
      </w:tr>
      <w:tr>
        <w:trPr>
          <w:tblCellSpacing w:w="0" w:type="dxa"/>
          <w:trHeight w:val="778"/>
        </w:trPr>
        <w:tc>
          <w:tcPr>
            <w:gridSpan w:val="8"/>
            <w:tcW w:w="9116" w:type="dxa"/>
            <w:vAlign w:val="center"/>
            <w:textDirection w:val="lrTb"/>
            <w:noWrap w:val="false"/>
          </w:tcPr>
          <w:p>
            <w:pPr>
              <w:pStyle w:val="759"/>
              <w:jc w:val="center"/>
              <w:spacing w:beforeAutospacing="0" w:afterAutospacing="0"/>
              <w:rPr>
                <w:highlight w:val="none"/>
              </w:rPr>
            </w:pPr>
            <w:r>
              <w:rPr>
                <w:rFonts w:hint="eastAsia" w:ascii="宋体" w:hAnsi="宋体" w:cs="宋体"/>
                <w:color w:val="000000"/>
                <w:highlight w:val="none"/>
              </w:rPr>
              <w:t xml:space="preserve">投标总报价（人民币：元）</w:t>
            </w:r>
            <w:r/>
          </w:p>
        </w:tc>
        <w:tc>
          <w:tcPr>
            <w:tcW w:w="1238" w:type="dxa"/>
            <w:vAlign w:val="center"/>
            <w:textDirection w:val="lrTb"/>
            <w:noWrap w:val="false"/>
          </w:tcPr>
          <w:p>
            <w:pPr>
              <w:pStyle w:val="759"/>
              <w:jc w:val="both"/>
              <w:spacing w:beforeAutospacing="0" w:afterAutospacing="0"/>
              <w:rPr>
                <w:highlight w:val="none"/>
              </w:rPr>
            </w:pPr>
            <w:r>
              <w:rPr>
                <w:highlight w:val="none"/>
              </w:rPr>
              <w:t xml:space="preserve"> </w:t>
            </w:r>
            <w:r/>
          </w:p>
        </w:tc>
      </w:tr>
    </w:tbl>
    <w:p>
      <w:pPr>
        <w:spacing w:line="500" w:lineRule="exact"/>
        <w:rPr>
          <w:rFonts w:hint="eastAsia" w:ascii="宋体" w:hAnsi="宋体" w:cs="宋体"/>
          <w:b/>
          <w:sz w:val="22"/>
          <w:szCs w:val="22"/>
          <w:highlight w:val="none"/>
        </w:rPr>
      </w:pPr>
      <w:r>
        <w:rPr>
          <w:rFonts w:hint="eastAsia" w:ascii="宋体" w:hAnsi="宋体" w:cs="宋体"/>
          <w:b/>
          <w:sz w:val="22"/>
          <w:szCs w:val="22"/>
          <w:highlight w:val="none"/>
        </w:rPr>
        <w:t xml:space="preserve">注：投标报价采用总承包方式，投标人的报价应包括所投产品（含相关附配件、软件）费用、包装费、运输费、装卸费、安装调试费、集成费、测试费、培训费（含不少于6人无人机培训及获取相关证书费用）、验收费、售后服务费、投标费用、税金、招标代理服务费、</w:t>
      </w:r>
      <w:r>
        <w:rPr>
          <w:rFonts w:hint="eastAsia" w:ascii="宋体" w:hAnsi="宋体" w:cs="宋体"/>
          <w:b/>
          <w:sz w:val="22"/>
          <w:szCs w:val="22"/>
          <w:highlight w:val="none"/>
          <w:lang w:eastAsia="zh-CN"/>
        </w:rPr>
        <w:t xml:space="preserve">无人机保险费（三责险、机身损害险、飞手意外险）</w:t>
      </w:r>
      <w:r>
        <w:rPr>
          <w:rFonts w:hint="eastAsia" w:ascii="宋体" w:hAnsi="宋体" w:cs="宋体"/>
          <w:b/>
          <w:sz w:val="22"/>
          <w:szCs w:val="22"/>
          <w:highlight w:val="none"/>
        </w:rPr>
        <w:t xml:space="preserve">、各类风险费、管理费、利润、国际国内运输等保险费、报关清关、开证、办理全套免税手续费用及其他有关的为完成本项目发生的所有费用，招标文件中另有规定的除外。</w:t>
      </w:r>
      <w:r/>
    </w:p>
    <w:p>
      <w:pPr>
        <w:pStyle w:val="929"/>
        <w:jc w:val="both"/>
        <w:spacing w:beforeAutospacing="0" w:afterAutospacing="0"/>
        <w:rPr>
          <w:sz w:val="22"/>
          <w:szCs w:val="22"/>
          <w:highlight w:val="none"/>
        </w:rPr>
      </w:pPr>
      <w:r>
        <w:rPr>
          <w:sz w:val="22"/>
          <w:szCs w:val="22"/>
          <w:highlight w:val="none"/>
        </w:rPr>
      </w:r>
      <w:r/>
    </w:p>
    <w:p>
      <w:pPr>
        <w:jc w:val="center"/>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jc w:val="center"/>
        <w:rPr>
          <w:rFonts w:hint="eastAsia"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投标人全称（加盖公章）：</w:t>
      </w:r>
      <w:r/>
    </w:p>
    <w:p>
      <w:pPr>
        <w:jc w:val="right"/>
        <w:rPr>
          <w:rFonts w:hint="eastAsia" w:ascii="宋体" w:hAnsi="宋体"/>
          <w:sz w:val="22"/>
          <w:szCs w:val="22"/>
          <w:highlight w:val="none"/>
        </w:rPr>
      </w:pPr>
      <w:r>
        <w:rPr>
          <w:rFonts w:hint="eastAsia" w:ascii="宋体" w:hAnsi="宋体"/>
          <w:sz w:val="22"/>
          <w:szCs w:val="22"/>
          <w:highlight w:val="none"/>
        </w:rPr>
        <w:t xml:space="preserve">法定代表人或授权代表签字：</w:t>
      </w:r>
      <w:r/>
    </w:p>
    <w:p>
      <w:pPr>
        <w:jc w:val="center"/>
        <w:spacing w:line="360" w:lineRule="auto"/>
        <w:rPr>
          <w:rFonts w:hint="eastAsia" w:ascii="宋体" w:hAnsi="宋体"/>
          <w:sz w:val="22"/>
          <w:szCs w:val="22"/>
          <w:highlight w:val="none"/>
        </w:rPr>
      </w:pPr>
      <w:r>
        <w:rPr>
          <w:rFonts w:hint="eastAsia" w:ascii="宋体" w:hAnsi="宋体"/>
          <w:sz w:val="22"/>
          <w:szCs w:val="22"/>
          <w:highlight w:val="none"/>
        </w:rPr>
        <w:t xml:space="preserve">                                 日   期：</w:t>
      </w:r>
      <w:r/>
    </w:p>
    <w:p>
      <w:pPr>
        <w:pStyle w:val="929"/>
        <w:jc w:val="both"/>
        <w:spacing w:beforeAutospacing="0" w:afterAutospacing="0"/>
        <w:rPr>
          <w:highlight w:val="none"/>
        </w:rPr>
      </w:pPr>
      <w:r>
        <w:rPr>
          <w:highlight w:val="none"/>
        </w:rPr>
        <w:t xml:space="preserve"> </w:t>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bookmarkStart w:id="205" w:name="_GoBack"/>
      <w:r/>
      <w:bookmarkEnd w:id="205"/>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center"/>
        <w:spacing w:beforeAutospacing="0" w:afterAutospacing="0"/>
        <w:rPr>
          <w:highlight w:val="none"/>
        </w:rPr>
      </w:pPr>
      <w:r>
        <w:rPr>
          <w:rFonts w:hint="eastAsia" w:ascii="黑体" w:hAnsi="宋体" w:eastAsia="黑体" w:cs="黑体"/>
          <w:b/>
          <w:sz w:val="32"/>
          <w:szCs w:val="32"/>
          <w:highlight w:val="none"/>
        </w:rPr>
        <w:t xml:space="preserve">十三、技术要求响应及偏离表</w:t>
      </w:r>
      <w:r/>
    </w:p>
    <w:tbl>
      <w:tblPr>
        <w:tblStyle w:val="742"/>
        <w:tblW w:w="906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64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lang w:val="en-US" w:eastAsia="zh-CN"/>
              </w:rPr>
              <w:t xml:space="preserve">负</w:t>
            </w:r>
            <w:r>
              <w:rPr>
                <w:rFonts w:hint="eastAsia" w:ascii="宋体" w:hAnsi="宋体" w:cs="宋体"/>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证明</w:t>
            </w:r>
            <w:r/>
          </w:p>
          <w:p>
            <w:pPr>
              <w:pStyle w:val="929"/>
              <w:jc w:val="center"/>
              <w:spacing w:beforeAutospacing="0" w:afterAutospacing="0"/>
              <w:rPr>
                <w:rFonts w:hint="eastAsia" w:eastAsia="宋体"/>
                <w:highlight w:val="none"/>
                <w:lang w:eastAsia="zh-CN"/>
              </w:rPr>
            </w:pPr>
            <w:r>
              <w:rPr>
                <w:rFonts w:hint="eastAsia" w:ascii="宋体" w:hAnsi="宋体" w:cs="宋体"/>
                <w:highlight w:val="none"/>
              </w:rPr>
              <w:t xml:space="preserve">材料</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929"/>
              <w:jc w:val="center"/>
              <w:spacing w:beforeAutospacing="0" w:afterAutospacing="0"/>
              <w:rPr>
                <w:highlight w:val="none"/>
              </w:rPr>
            </w:pPr>
            <w:r>
              <w:rPr>
                <w:highlight w:val="none"/>
              </w:rPr>
              <w:t xml:space="preserve"> </w:t>
            </w:r>
            <w:r/>
          </w:p>
        </w:tc>
      </w:tr>
    </w:tbl>
    <w:p>
      <w:pPr>
        <w:ind w:firstLine="480"/>
        <w:rPr>
          <w:rFonts w:hint="eastAsia" w:ascii="宋体" w:hAnsi="宋体" w:cs="仿宋"/>
          <w:sz w:val="24"/>
          <w:highlight w:val="none"/>
        </w:rPr>
      </w:pPr>
      <w:r>
        <w:rPr>
          <w:rFonts w:hint="eastAsia" w:ascii="宋体" w:hAnsi="宋体" w:cs="仿宋"/>
          <w:sz w:val="24"/>
          <w:highlight w:val="none"/>
        </w:rPr>
        <w:t xml:space="preserve">我方承诺，除上表中的偏离外，完全响应招标文件的其他条款。</w:t>
      </w:r>
      <w:r/>
    </w:p>
    <w:p>
      <w:pPr>
        <w:jc w:val="right"/>
        <w:spacing w:line="440" w:lineRule="exact"/>
        <w:rPr>
          <w:rFonts w:hint="eastAsia" w:ascii="宋体" w:hAnsi="宋体" w:cs="仿宋"/>
          <w:sz w:val="24"/>
          <w:highlight w:val="none"/>
          <w:u w:val="single"/>
        </w:rPr>
      </w:pPr>
      <w:r>
        <w:rPr>
          <w:rFonts w:hint="eastAsia" w:ascii="宋体" w:hAnsi="宋体" w:cs="仿宋"/>
          <w:sz w:val="24"/>
          <w:highlight w:val="none"/>
        </w:rPr>
        <w:t xml:space="preserve">投标单位公章：</w:t>
      </w:r>
      <w:r>
        <w:rPr>
          <w:rFonts w:hint="eastAsia" w:ascii="宋体" w:hAnsi="宋体" w:cs="仿宋"/>
          <w:sz w:val="24"/>
          <w:highlight w:val="none"/>
          <w:u w:val="single"/>
        </w:rPr>
        <w:t xml:space="preserve">             </w:t>
      </w:r>
      <w:r>
        <w:rPr>
          <w:rFonts w:hint="eastAsia" w:ascii="宋体" w:hAnsi="宋体" w:cs="仿宋"/>
          <w:sz w:val="24"/>
          <w:highlight w:val="none"/>
        </w:rPr>
        <w:t xml:space="preserve">(盖单位公章)</w:t>
      </w:r>
      <w:r/>
    </w:p>
    <w:p>
      <w:pPr>
        <w:jc w:val="right"/>
        <w:spacing w:line="460" w:lineRule="exact"/>
        <w:rPr>
          <w:rFonts w:hint="eastAsia" w:ascii="宋体" w:hAnsi="宋体" w:cs="仿宋"/>
          <w:b/>
          <w:sz w:val="24"/>
          <w:highlight w:val="none"/>
        </w:rPr>
      </w:pPr>
      <w:r>
        <w:rPr>
          <w:rFonts w:hint="eastAsia" w:ascii="宋体" w:hAnsi="宋体" w:cs="仿宋"/>
          <w:sz w:val="24"/>
          <w:highlight w:val="none"/>
          <w:u w:val="single"/>
        </w:rPr>
        <w:t xml:space="preserve">      </w:t>
      </w:r>
      <w:r>
        <w:rPr>
          <w:rFonts w:hint="eastAsia" w:ascii="宋体" w:hAnsi="宋体" w:cs="仿宋"/>
          <w:sz w:val="24"/>
          <w:highlight w:val="none"/>
        </w:rPr>
        <w:t xml:space="preserve">年</w:t>
      </w:r>
      <w:r>
        <w:rPr>
          <w:rFonts w:hint="eastAsia" w:ascii="宋体" w:hAnsi="宋体" w:cs="仿宋"/>
          <w:sz w:val="24"/>
          <w:highlight w:val="none"/>
          <w:u w:val="single"/>
        </w:rPr>
        <w:t xml:space="preserve">      </w:t>
      </w:r>
      <w:r>
        <w:rPr>
          <w:rFonts w:hint="eastAsia" w:ascii="宋体" w:hAnsi="宋体" w:cs="仿宋"/>
          <w:sz w:val="24"/>
          <w:highlight w:val="none"/>
        </w:rPr>
        <w:t xml:space="preserve"> 月 </w:t>
      </w:r>
      <w:r>
        <w:rPr>
          <w:rFonts w:hint="eastAsia" w:ascii="宋体" w:hAnsi="宋体" w:cs="仿宋"/>
          <w:sz w:val="24"/>
          <w:highlight w:val="none"/>
          <w:u w:val="single"/>
        </w:rPr>
        <w:t xml:space="preserve">     </w:t>
      </w:r>
      <w:r>
        <w:rPr>
          <w:rFonts w:hint="eastAsia" w:ascii="宋体" w:hAnsi="宋体" w:cs="仿宋"/>
          <w:sz w:val="24"/>
          <w:highlight w:val="none"/>
        </w:rPr>
        <w:t xml:space="preserve"> 日</w:t>
      </w:r>
      <w:r/>
    </w:p>
    <w:p>
      <w:pPr>
        <w:spacing w:line="480" w:lineRule="exact"/>
        <w:rPr>
          <w:rFonts w:hint="eastAsia" w:ascii="宋体" w:hAnsi="宋体" w:cs="仿宋"/>
          <w:b/>
          <w:sz w:val="24"/>
          <w:highlight w:val="none"/>
        </w:rPr>
      </w:pPr>
      <w:r>
        <w:rPr>
          <w:rFonts w:hint="eastAsia" w:ascii="宋体" w:hAnsi="宋体" w:cs="仿宋"/>
          <w:sz w:val="24"/>
          <w:highlight w:val="none"/>
        </w:rPr>
        <w:t xml:space="preserve">注：1、</w:t>
      </w:r>
      <w:r>
        <w:rPr>
          <w:rFonts w:hint="eastAsia" w:ascii="宋体" w:hAnsi="宋体" w:cs="仿宋"/>
          <w:b/>
          <w:sz w:val="24"/>
          <w:highlight w:val="none"/>
        </w:rPr>
        <w:t xml:space="preserve">本表只填写有偏离的参数，无偏离的参数不填写</w:t>
      </w:r>
      <w:r>
        <w:rPr>
          <w:rFonts w:hint="eastAsia" w:ascii="宋体" w:hAnsi="宋体" w:cs="仿宋"/>
          <w:b/>
          <w:sz w:val="24"/>
          <w:highlight w:val="none"/>
          <w:lang w:eastAsia="zh-CN"/>
        </w:rPr>
        <w:t xml:space="preserve">，</w:t>
      </w:r>
      <w:r>
        <w:rPr>
          <w:rFonts w:hint="eastAsia" w:ascii="宋体" w:hAnsi="宋体" w:cs="仿宋"/>
          <w:b/>
          <w:sz w:val="24"/>
          <w:highlight w:val="none"/>
          <w:lang w:val="en-US" w:eastAsia="zh-CN"/>
        </w:rPr>
        <w:t xml:space="preserve">正偏离视同无偏离</w:t>
      </w:r>
      <w:r>
        <w:rPr>
          <w:rFonts w:hint="eastAsia" w:ascii="宋体" w:hAnsi="宋体" w:cs="仿宋"/>
          <w:b/>
          <w:sz w:val="24"/>
          <w:highlight w:val="none"/>
        </w:rPr>
        <w:t xml:space="preserve">。</w:t>
      </w:r>
      <w:r/>
    </w:p>
    <w:p>
      <w:pPr>
        <w:ind w:firstLine="480"/>
        <w:spacing w:line="480" w:lineRule="exact"/>
        <w:rPr>
          <w:rFonts w:hint="eastAsia" w:ascii="宋体" w:hAnsi="宋体" w:cs="仿宋"/>
          <w:sz w:val="24"/>
          <w:highlight w:val="none"/>
        </w:rPr>
      </w:pPr>
      <w:r>
        <w:rPr>
          <w:rFonts w:hint="eastAsia" w:ascii="宋体" w:hAnsi="宋体" w:cs="仿宋"/>
          <w:sz w:val="24"/>
          <w:highlight w:val="none"/>
        </w:rPr>
        <w:t xml:space="preserve">2、投标人应根据投标设备的性能指标、对有偏离的技术参数在“偏离情况”栏注明“负偏离”， 投标人须把所投参数偏离的货物的具体型号、详细配置等情况根据招标文件要求、偏离情况逐项进行描述。</w:t>
      </w:r>
      <w:r/>
    </w:p>
    <w:p>
      <w:pPr>
        <w:ind w:firstLine="602"/>
        <w:spacing w:line="360" w:lineRule="auto"/>
        <w:rPr>
          <w:rFonts w:hint="eastAsia" w:ascii="宋体" w:hAnsi="宋体" w:cs="宋体"/>
          <w:b w:val="0"/>
          <w:bCs w:val="0"/>
          <w:sz w:val="24"/>
          <w:highlight w:val="none"/>
        </w:rPr>
      </w:pPr>
      <w:r>
        <w:rPr>
          <w:rFonts w:hint="eastAsia" w:ascii="宋体" w:hAnsi="宋体" w:cs="仿宋"/>
          <w:highlight w:val="none"/>
        </w:rPr>
        <w:t xml:space="preserve">3. 投标人如在投标过程中提供虚假材料谋取中标成交的或采取不正当手段诋毁、排挤其他供应商的,</w:t>
      </w:r>
      <w:r>
        <w:rPr>
          <w:rFonts w:hint="eastAsia" w:ascii="宋体" w:hAnsi="宋体" w:cs="宋体"/>
          <w:b w:val="0"/>
          <w:bCs w:val="0"/>
          <w:color w:val="000000"/>
          <w:sz w:val="24"/>
          <w:szCs w:val="20"/>
          <w:highlight w:val="none"/>
          <w:lang w:val="en-US" w:eastAsia="zh-CN"/>
        </w:rPr>
        <w:t xml:space="preserve">①采购人将取消其中标候选人的中标资格并追究中标人的民事赔偿，②</w:t>
      </w:r>
      <w:r>
        <w:rPr>
          <w:rFonts w:hint="eastAsia" w:ascii="宋体" w:hAnsi="宋体" w:eastAsia="宋体" w:cs="宋体"/>
          <w:b w:val="0"/>
          <w:bCs w:val="0"/>
          <w:color w:val="000000"/>
          <w:sz w:val="24"/>
          <w:szCs w:val="20"/>
          <w:highlight w:val="none"/>
        </w:rPr>
        <w:t xml:space="preserve">上报财政主管部门,将其列入黑名单</w:t>
      </w:r>
      <w:r>
        <w:rPr>
          <w:rFonts w:hint="eastAsia" w:ascii="宋体" w:hAnsi="宋体" w:cs="宋体"/>
          <w:b w:val="0"/>
          <w:bCs w:val="0"/>
          <w:color w:val="000000"/>
          <w:sz w:val="24"/>
          <w:szCs w:val="20"/>
          <w:highlight w:val="none"/>
          <w:lang w:eastAsia="zh-CN"/>
        </w:rPr>
        <w:t xml:space="preserve">，</w:t>
      </w:r>
      <w:r>
        <w:rPr>
          <w:rFonts w:hint="eastAsia" w:ascii="宋体" w:hAnsi="宋体" w:cs="宋体"/>
          <w:b w:val="0"/>
          <w:bCs w:val="0"/>
          <w:color w:val="000000"/>
          <w:sz w:val="24"/>
          <w:szCs w:val="20"/>
          <w:highlight w:val="none"/>
          <w:lang w:val="en-US" w:eastAsia="zh-CN"/>
        </w:rPr>
        <w:t xml:space="preserve">③如涉嫌刑事移送司法机关；④</w:t>
      </w:r>
      <w:r>
        <w:rPr>
          <w:rFonts w:hint="eastAsia" w:ascii="宋体" w:hAnsi="宋体" w:eastAsia="宋体" w:cs="宋体"/>
          <w:b w:val="0"/>
          <w:bCs w:val="0"/>
          <w:color w:val="000000"/>
          <w:sz w:val="24"/>
          <w:szCs w:val="20"/>
          <w:highlight w:val="none"/>
        </w:rPr>
        <w:t xml:space="preserve">追究其耽误采购人进场时间、各项费用损失之法律责任。</w:t>
      </w:r>
      <w:r/>
    </w:p>
    <w:p>
      <w:pPr>
        <w:pStyle w:val="944"/>
        <w:spacing w:before="156" w:after="156"/>
        <w:rPr>
          <w:rFonts w:hint="eastAsia" w:ascii="宋体" w:hAnsi="宋体" w:cs="仿宋"/>
          <w:highlight w:val="none"/>
        </w:rPr>
      </w:pPr>
      <w:r>
        <w:rPr>
          <w:rFonts w:hint="eastAsia" w:ascii="宋体" w:hAnsi="宋体" w:cs="仿宋"/>
          <w:highlight w:val="none"/>
        </w:rPr>
      </w:r>
      <w:r/>
    </w:p>
    <w:p>
      <w:pPr>
        <w:pStyle w:val="942"/>
        <w:jc w:val="both"/>
        <w:spacing w:beforeAutospacing="0" w:afterAutospacing="0"/>
        <w:rPr>
          <w:rFonts w:hint="eastAsia"/>
          <w:highlight w:val="none"/>
        </w:rPr>
      </w:pPr>
      <w:r>
        <w:rPr>
          <w:rFonts w:hint="eastAsia"/>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r>
      <w:r/>
    </w:p>
    <w:p>
      <w:pPr>
        <w:pStyle w:val="929"/>
        <w:jc w:val="center"/>
        <w:spacing w:beforeAutospacing="0" w:afterAutospacing="0"/>
        <w:rPr>
          <w:highlight w:val="none"/>
        </w:rPr>
      </w:pPr>
      <w:r/>
      <w:bookmarkStart w:id="191" w:name="_Hlt26955054"/>
      <w:r>
        <w:rPr>
          <w:rFonts w:hint="eastAsia" w:ascii="黑体" w:hAnsi="宋体" w:eastAsia="黑体" w:cs="黑体"/>
          <w:b/>
          <w:sz w:val="32"/>
          <w:szCs w:val="32"/>
          <w:highlight w:val="none"/>
        </w:rPr>
        <w:t xml:space="preserve">十四、商务要求响应及偏离表</w:t>
      </w:r>
      <w:r/>
    </w:p>
    <w:tbl>
      <w:tblPr>
        <w:tblStyle w:val="742"/>
        <w:tblW w:w="10471" w:type="dxa"/>
        <w:tblCellSpacing w:w="0" w:type="dxa"/>
        <w:tblInd w:w="-10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6654"/>
        <w:gridCol w:w="1007"/>
        <w:gridCol w:w="1267"/>
        <w:gridCol w:w="801"/>
      </w:tblGrid>
      <w:tr>
        <w:trPr>
          <w:tblCellSpacing w:w="0" w:type="dxa"/>
        </w:trPr>
        <w:tc>
          <w:tcPr>
            <w:tcW w:w="742" w:type="dxa"/>
            <w:vAlign w:val="center"/>
            <w:textDirection w:val="lrTb"/>
            <w:noWrap w:val="false"/>
          </w:tcPr>
          <w:p>
            <w:pPr>
              <w:pStyle w:val="929"/>
              <w:jc w:val="center"/>
              <w:spacing w:beforeAutospacing="0" w:afterAutospacing="0"/>
              <w:rPr>
                <w:highlight w:val="none"/>
              </w:rPr>
            </w:pPr>
            <w:r/>
            <w:bookmarkStart w:id="192" w:name="_Hlt24879081"/>
            <w:r/>
            <w:bookmarkStart w:id="193" w:name="_Hlt26580838"/>
            <w:r/>
            <w:bookmarkStart w:id="194" w:name="_Hlt26671343"/>
            <w:r/>
            <w:bookmarkStart w:id="195" w:name="_Hlt26955064"/>
            <w:r/>
            <w:bookmarkStart w:id="196" w:name="_Hlt26782999"/>
            <w:r/>
            <w:bookmarkStart w:id="197" w:name="_Hlt26955056"/>
            <w:r/>
            <w:bookmarkStart w:id="198" w:name="_Hlt26609391"/>
            <w:r/>
            <w:bookmarkStart w:id="199" w:name="_Hlt26671372"/>
            <w:r>
              <w:rPr>
                <w:rFonts w:hint="eastAsia" w:ascii="宋体" w:hAnsi="宋体" w:cs="宋体"/>
                <w:highlight w:val="none"/>
              </w:rPr>
              <w:t xml:space="preserve">序号</w:t>
            </w:r>
            <w:bookmarkEnd w:id="192"/>
            <w:r/>
            <w:bookmarkEnd w:id="193"/>
            <w:r/>
            <w:bookmarkEnd w:id="194"/>
            <w:r/>
            <w:bookmarkEnd w:id="195"/>
            <w:r/>
            <w:bookmarkEnd w:id="196"/>
            <w:r/>
            <w:bookmarkEnd w:id="197"/>
            <w:r/>
            <w:bookmarkEnd w:id="198"/>
            <w:r/>
            <w:bookmarkEnd w:id="199"/>
            <w:r/>
            <w:r/>
          </w:p>
        </w:tc>
        <w:tc>
          <w:tcPr>
            <w:tcW w:w="6654"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招标文件要求</w:t>
            </w:r>
            <w:r/>
          </w:p>
        </w:tc>
        <w:tc>
          <w:tcPr>
            <w:tcW w:w="1007"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投标响应情况</w:t>
            </w:r>
            <w:r/>
          </w:p>
        </w:tc>
        <w:tc>
          <w:tcPr>
            <w:tcW w:w="1267"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超出、符合或偏离</w:t>
            </w:r>
            <w:r/>
          </w:p>
        </w:tc>
        <w:tc>
          <w:tcPr>
            <w:tcW w:w="801"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证明</w:t>
            </w:r>
            <w:r/>
          </w:p>
          <w:p>
            <w:pPr>
              <w:pStyle w:val="929"/>
              <w:jc w:val="center"/>
              <w:spacing w:beforeAutospacing="0" w:afterAutospacing="0"/>
              <w:rPr>
                <w:highlight w:val="none"/>
              </w:rPr>
            </w:pPr>
            <w:r>
              <w:rPr>
                <w:rFonts w:hint="eastAsia" w:ascii="宋体" w:hAnsi="宋体" w:cs="宋体"/>
                <w:highlight w:val="none"/>
              </w:rPr>
              <w:t xml:space="preserve">材料</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1</w:t>
            </w:r>
            <w:r/>
          </w:p>
        </w:tc>
        <w:tc>
          <w:tcPr>
            <w:tcW w:w="6654" w:type="dxa"/>
            <w:vAlign w:val="center"/>
            <w:textDirection w:val="lrTb"/>
            <w:noWrap w:val="false"/>
          </w:tcPr>
          <w:p>
            <w:pPr>
              <w:pStyle w:val="929"/>
              <w:jc w:val="left"/>
              <w:spacing w:beforeAutospacing="0" w:afterAutospacing="0"/>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供货期限（含安装调试工期）：</w:t>
            </w:r>
            <w:r>
              <w:rPr>
                <w:rFonts w:hint="eastAsia" w:ascii="宋体" w:hAnsi="宋体" w:eastAsia="宋体" w:cs="宋体"/>
                <w:b/>
                <w:sz w:val="21"/>
                <w:szCs w:val="21"/>
                <w:u w:val="single"/>
              </w:rPr>
              <w:t xml:space="preserve">90</w:t>
            </w:r>
            <w:r>
              <w:rPr>
                <w:rFonts w:hint="eastAsia" w:ascii="宋体" w:hAnsi="宋体" w:eastAsia="宋体" w:cs="宋体"/>
                <w:sz w:val="21"/>
                <w:szCs w:val="21"/>
              </w:rPr>
              <w:t xml:space="preserve">日历天</w:t>
            </w:r>
            <w:r>
              <w:rPr>
                <w:rFonts w:hint="eastAsia" w:ascii="宋体" w:hAnsi="宋体" w:eastAsia="宋体" w:cs="宋体"/>
                <w:sz w:val="21"/>
                <w:szCs w:val="21"/>
                <w:highlight w:val="none"/>
                <w:lang w:eastAsia="zh-CN"/>
              </w:rPr>
              <w:t xml:space="preserve">。</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2</w:t>
            </w:r>
            <w:r/>
          </w:p>
        </w:tc>
        <w:tc>
          <w:tcPr>
            <w:tcW w:w="6654" w:type="dxa"/>
            <w:vAlign w:val="center"/>
            <w:textDirection w:val="lrTb"/>
            <w:noWrap w:val="false"/>
          </w:tcPr>
          <w:p>
            <w:pPr>
              <w:pStyle w:val="929"/>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rPr>
              <w:t xml:space="preserve">免费质量保修期</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5</w:t>
            </w:r>
            <w:r>
              <w:rPr>
                <w:rFonts w:hint="eastAsia" w:ascii="宋体" w:hAnsi="宋体" w:eastAsia="宋体" w:cs="宋体"/>
                <w:sz w:val="21"/>
                <w:szCs w:val="21"/>
                <w:u w:val="none"/>
              </w:rPr>
              <w:t xml:space="preserve">年</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自项目竣工验收合格之日起算</w:t>
            </w:r>
            <w:r>
              <w:rPr>
                <w:rFonts w:hint="eastAsia" w:ascii="宋体" w:hAnsi="宋体" w:eastAsia="宋体" w:cs="宋体"/>
                <w:sz w:val="21"/>
                <w:szCs w:val="21"/>
              </w:rPr>
              <w:t xml:space="preserve">）。 </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p>
        </w:tc>
        <w:tc>
          <w:tcPr>
            <w:tcW w:w="6654" w:type="dxa"/>
            <w:vAlign w:val="center"/>
            <w:textDirection w:val="lrTb"/>
            <w:noWrap w:val="false"/>
          </w:tcPr>
          <w:p>
            <w:pPr>
              <w:pStyle w:val="929"/>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rPr>
              <w:t xml:space="preserve">质量标准：合格。</w:t>
            </w:r>
            <w:r>
              <w:rPr>
                <w:rFonts w:hint="eastAsia" w:ascii="宋体" w:hAnsi="宋体" w:eastAsia="宋体" w:cs="宋体"/>
                <w:sz w:val="21"/>
                <w:szCs w:val="21"/>
                <w:highlight w:val="none"/>
              </w:rPr>
              <w:t xml:space="preserve"> </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p>
        </w:tc>
        <w:tc>
          <w:tcPr>
            <w:tcW w:w="6654" w:type="dxa"/>
            <w:vAlign w:val="center"/>
            <w:textDirection w:val="lrTb"/>
            <w:noWrap w:val="false"/>
          </w:tcPr>
          <w:p>
            <w:pPr>
              <w:pStyle w:val="929"/>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rPr>
              <w:t xml:space="preserve">项目地点(交货地点)：滨海县范围内，采购人指定地点。</w:t>
            </w:r>
            <w:r>
              <w:rPr>
                <w:rFonts w:hint="eastAsia" w:ascii="宋体" w:hAnsi="宋体" w:eastAsia="宋体" w:cs="宋体"/>
                <w:sz w:val="21"/>
                <w:szCs w:val="21"/>
                <w:highlight w:val="none"/>
              </w:rPr>
              <w:t xml:space="preserve"> </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5</w:t>
            </w:r>
            <w:r/>
          </w:p>
        </w:tc>
        <w:tc>
          <w:tcPr>
            <w:tcW w:w="6654" w:type="dxa"/>
            <w:vAlign w:val="center"/>
            <w:textDirection w:val="lrTb"/>
            <w:noWrap w:val="false"/>
          </w:tcPr>
          <w:p>
            <w:pPr>
              <w:jc w:val="left"/>
              <w:spacing w:line="360" w:lineRule="auto"/>
              <w:shd w:val="clear" w:color="auto" w:fill="ffffff"/>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付款方式：</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合同签定后，甲方在收到乙方开具合同价款30%的预付款银行保函后支付预付款；本项目验收合格且档案移交完成后付至合同价的50%，验收合格满一年付至审计价60%，验收合格满二年付至审计价70%，验收合格满三年付至审计价80%，验收合格满四年付至审计价90%， 余款在验收合格满五年后按审计价付清（如有违约扣款的，按实际情况在合同价中扣除）。</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注：1）将合同价款30%的预付款汇入农民工工资专用账户。</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2）项目竣工验收完成后,项目建设单位须将所有项目材料装订成册，移交县局档案室统一管理。</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对于应提供第三方检测报告而未提供的;未经档案验收，或者档案验收不合格的;未完成网络安全等级保护工作的;未按招标文件及合同约定响应的，一律视为验收不合格。验收不合格的项目，由承建单位进行整改，重新准备相关材料后，再次提出验收申请，直至验收合格。</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4）通过竣工验收的项目，未向县局档案室移交档案的，或者未向警保部门登记国有资产入库的，不得支付项目尾款。</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5）项目建设单位应当在项目验收合格后一个月内向审计部门提交项目材料并申请审计，项目结算审计核减金额超过送审金额的10%，审计费用由承建单位承担。</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6）对于满足合同约定支付条件的，采购人应当自收到发票后 10个工作日内将资金支付到合同约定的供应商账户。</w:t>
            </w:r>
            <w:r/>
          </w:p>
          <w:p>
            <w:pPr>
              <w:ind w:firstLine="480"/>
              <w:jc w:val="left"/>
              <w:spacing w:line="340" w:lineRule="exact"/>
              <w:shd w:val="clear" w:color="auto" w:fill="ffffff"/>
              <w:widowControl/>
              <w:tabs>
                <w:tab w:val="left" w:pos="630" w:leader="none"/>
              </w:tabs>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2.当采购数量与实际使用数量不一致时，乙方应根据实际使用量供货，合同的最终结算金额按实际使用量乘以成交单价进行计算。</w:t>
            </w:r>
            <w:r/>
          </w:p>
          <w:p>
            <w:pPr>
              <w:ind w:firstLine="480"/>
              <w:jc w:val="left"/>
              <w:spacing w:after="145" w:line="340" w:lineRule="exact"/>
              <w:tabs>
                <w:tab w:val="left" w:pos="900" w:leader="none"/>
              </w:tabs>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rPr>
              <w:t xml:space="preserve">注：乙方在甲方支付预付款前，必须提供预付款同等金额的银行保函，以确保甲方的资金安全。该保函必须是无条件即索即兑的银行保函，保函有效期为签订合同后6个月，保函开具行必须为甲方指定行，且须完全符合甲方要求。如</w:t>
            </w:r>
            <w:r>
              <w:rPr>
                <w:rFonts w:hint="eastAsia" w:ascii="宋体" w:hAnsi="宋体" w:eastAsia="宋体" w:cs="宋体"/>
                <w:b w:val="0"/>
                <w:bCs w:val="0"/>
                <w:color w:val="auto"/>
                <w:sz w:val="21"/>
                <w:szCs w:val="21"/>
                <w:lang w:eastAsia="zh-CN"/>
              </w:rPr>
              <w:t xml:space="preserve">中标人</w:t>
            </w:r>
            <w:r>
              <w:rPr>
                <w:rFonts w:hint="eastAsia" w:ascii="宋体" w:hAnsi="宋体" w:eastAsia="宋体" w:cs="宋体"/>
                <w:b w:val="0"/>
                <w:bCs w:val="0"/>
                <w:color w:val="auto"/>
                <w:sz w:val="21"/>
                <w:szCs w:val="21"/>
              </w:rPr>
              <w:t xml:space="preserve">未按上述要求在签订合同前15日内未提供银行保函，则视为</w:t>
            </w:r>
            <w:r>
              <w:rPr>
                <w:rFonts w:hint="eastAsia" w:ascii="宋体" w:hAnsi="宋体" w:eastAsia="宋体" w:cs="宋体"/>
                <w:b w:val="0"/>
                <w:bCs w:val="0"/>
                <w:color w:val="auto"/>
                <w:sz w:val="21"/>
                <w:szCs w:val="21"/>
                <w:lang w:eastAsia="zh-CN"/>
              </w:rPr>
              <w:t xml:space="preserve">中标人</w:t>
            </w:r>
            <w:r>
              <w:rPr>
                <w:rFonts w:hint="eastAsia" w:ascii="宋体" w:hAnsi="宋体" w:eastAsia="宋体" w:cs="宋体"/>
                <w:b w:val="0"/>
                <w:bCs w:val="0"/>
                <w:color w:val="auto"/>
                <w:sz w:val="21"/>
                <w:szCs w:val="21"/>
              </w:rPr>
              <w:t xml:space="preserve">无条件放弃预付款。</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654" w:type="dxa"/>
            <w:vAlign w:val="center"/>
            <w:textDirection w:val="lrTb"/>
            <w:noWrap w:val="false"/>
          </w:tcPr>
          <w:p>
            <w:pPr>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售后服务及其他（含安装、调试、维护等）</w:t>
            </w:r>
            <w:r/>
          </w:p>
          <w:p>
            <w:pPr>
              <w:jc w:val="left"/>
              <w:spacing w:line="400" w:lineRule="exact"/>
              <w:tabs>
                <w:tab w:val="left" w:pos="103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1.在招标文件规定的5年质量保修期内，投标人应对招标范围内所有损坏（人为损坏除外）的货物及零部件修理或更换，并承担由此所发生的修理或更换费、检测费、维修人员工资、往返费用等一切费用。</w:t>
            </w:r>
            <w:r/>
          </w:p>
          <w:p>
            <w:pPr>
              <w:jc w:val="left"/>
              <w:spacing w:line="400" w:lineRule="exact"/>
              <w:tabs>
                <w:tab w:val="left" w:pos="1035" w:leader="none"/>
              </w:tabs>
              <w:rPr>
                <w:rFonts w:hint="eastAsia" w:ascii="宋体" w:hAnsi="宋体" w:eastAsia="宋体" w:cs="宋体"/>
                <w:b w:val="0"/>
                <w:bCs w:val="0"/>
                <w:color w:val="000000"/>
                <w:sz w:val="21"/>
                <w:szCs w:val="21"/>
              </w:rPr>
            </w:pPr>
            <w:r>
              <w:rPr>
                <w:rFonts w:hint="eastAsia" w:ascii="宋体" w:hAnsi="宋体" w:eastAsia="宋体" w:cs="宋体"/>
                <w:b w:val="0"/>
                <w:bCs w:val="0"/>
                <w:sz w:val="21"/>
                <w:szCs w:val="21"/>
              </w:rPr>
              <w:t xml:space="preserve">2.在5年质量保修期内，免</w:t>
            </w:r>
            <w:r>
              <w:rPr>
                <w:rFonts w:hint="eastAsia" w:ascii="宋体" w:hAnsi="宋体" w:eastAsia="宋体" w:cs="宋体"/>
                <w:b w:val="0"/>
                <w:bCs w:val="0"/>
                <w:color w:val="000000"/>
                <w:sz w:val="21"/>
                <w:szCs w:val="21"/>
              </w:rPr>
              <w:t xml:space="preserve">费质保期内提供7×24小时服务，</w:t>
            </w:r>
            <w:r>
              <w:rPr>
                <w:rFonts w:hint="eastAsia" w:ascii="宋体" w:hAnsi="宋体" w:eastAsia="宋体" w:cs="宋体"/>
                <w:b w:val="0"/>
                <w:bCs w:val="0"/>
                <w:sz w:val="21"/>
                <w:szCs w:val="21"/>
              </w:rPr>
              <w:t xml:space="preserve">接到采购人报修电话后</w:t>
            </w:r>
            <w:r>
              <w:rPr>
                <w:rFonts w:hint="eastAsia" w:ascii="宋体" w:hAnsi="宋体" w:eastAsia="宋体" w:cs="宋体"/>
                <w:b w:val="0"/>
                <w:bCs w:val="0"/>
                <w:color w:val="000000"/>
                <w:sz w:val="21"/>
                <w:szCs w:val="21"/>
              </w:rPr>
              <w:t xml:space="preserve">1小时内做出响应</w:t>
            </w:r>
            <w:r>
              <w:rPr>
                <w:rFonts w:hint="eastAsia" w:ascii="宋体" w:hAnsi="宋体" w:eastAsia="宋体" w:cs="宋体"/>
                <w:b w:val="0"/>
                <w:bCs w:val="0"/>
                <w:sz w:val="21"/>
                <w:szCs w:val="21"/>
              </w:rPr>
              <w:t xml:space="preserve">，派遣有经验的维修人员在</w:t>
            </w:r>
            <w:r>
              <w:rPr>
                <w:rFonts w:hint="eastAsia" w:ascii="宋体" w:hAnsi="宋体" w:eastAsia="宋体" w:cs="宋体"/>
                <w:b w:val="0"/>
                <w:bCs w:val="0"/>
                <w:sz w:val="21"/>
                <w:szCs w:val="21"/>
                <w:u w:val="single"/>
              </w:rPr>
              <w:t xml:space="preserve">2</w:t>
            </w:r>
            <w:r>
              <w:rPr>
                <w:rFonts w:hint="eastAsia" w:ascii="宋体" w:hAnsi="宋体" w:eastAsia="宋体" w:cs="宋体"/>
                <w:b w:val="0"/>
                <w:bCs w:val="0"/>
                <w:sz w:val="21"/>
                <w:szCs w:val="21"/>
              </w:rPr>
              <w:t xml:space="preserve">小时内（具体以甲方的规定为准）到达现场提供维修服务。</w:t>
            </w:r>
            <w:r>
              <w:rPr>
                <w:rFonts w:hint="eastAsia" w:ascii="宋体" w:hAnsi="宋体" w:eastAsia="宋体" w:cs="宋体"/>
                <w:b w:val="0"/>
                <w:bCs w:val="0"/>
                <w:color w:val="000000"/>
                <w:sz w:val="21"/>
                <w:szCs w:val="21"/>
              </w:rPr>
              <w:t xml:space="preserve">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w:t>
            </w:r>
            <w:r/>
          </w:p>
          <w:p>
            <w:pPr>
              <w:jc w:val="left"/>
              <w:spacing w:line="400" w:lineRule="exact"/>
              <w:tabs>
                <w:tab w:val="left" w:pos="103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3.在5年质量保修期内，如需要更换零部件，保证须在一周内完成，所供零部件的性能和作用不低于原配置要求，否则，采购人有权自行购置，费用在合同款中扣付。</w:t>
            </w:r>
            <w:r/>
          </w:p>
          <w:p>
            <w:pPr>
              <w:jc w:val="left"/>
              <w:spacing w:line="400" w:lineRule="exact"/>
              <w:tabs>
                <w:tab w:val="left" w:pos="103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4.在5年质量保修期满后，如采购人仍要求供应商提供相关服务，投标人还应提供服务，但发生的费用由采购人承担。</w:t>
            </w:r>
            <w:r/>
          </w:p>
          <w:p>
            <w:pPr>
              <w:jc w:val="left"/>
              <w:spacing w:line="40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投标人负责完成货物安装、调试、运行和验收交付等工作。投标人应提供详细、可行的供货及安装、调试方案，售后服务及培训方案，并根据项目进度详细列出各个阶段采购人需要配合的内容。培训内容为本货物系统操作及常见问题处理，确保使用人员具备独立工作的能力。</w:t>
            </w:r>
            <w:r/>
          </w:p>
          <w:p>
            <w:pPr>
              <w:jc w:val="left"/>
              <w:spacing w:line="400" w:lineRule="exact"/>
              <w:tabs>
                <w:tab w:val="left" w:pos="1035"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6.货物验收合格交付采购人之前的所有风险由中标人承担 。</w:t>
            </w:r>
            <w:r/>
          </w:p>
          <w:p>
            <w:pPr>
              <w:jc w:val="left"/>
              <w:spacing w:line="400" w:lineRule="exact"/>
              <w:tabs>
                <w:tab w:val="left" w:pos="1035"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lang w:val="en-US" w:eastAsia="zh-CN"/>
              </w:rPr>
              <w:t xml:space="preserve">7.中标人须为采购人提供免费、专业、系统的无人机操作及安全培训，确保培训后不少于6名参训人员取得国家认可、合法有效的无人机相关职业技能证书/驾驶员合格证书，培训及取证费用均包含在投标报价中，采购人不另行支付任何费用。</w:t>
            </w:r>
            <w:r/>
          </w:p>
        </w:tc>
        <w:tc>
          <w:tcPr>
            <w:tcW w:w="1007" w:type="dxa"/>
            <w:vAlign w:val="center"/>
            <w:textDirection w:val="lrTb"/>
            <w:noWrap w:val="false"/>
          </w:tcPr>
          <w:p>
            <w:pPr>
              <w:pStyle w:val="929"/>
              <w:jc w:val="center"/>
              <w:spacing w:beforeAutospacing="0" w:afterAutospacing="0"/>
              <w:rPr>
                <w:highlight w:val="none"/>
              </w:rPr>
            </w:pPr>
            <w:r>
              <w:rPr>
                <w:highlight w:val="none"/>
              </w:rPr>
            </w:r>
            <w:r/>
          </w:p>
        </w:tc>
        <w:tc>
          <w:tcPr>
            <w:tcW w:w="1267" w:type="dxa"/>
            <w:vAlign w:val="center"/>
            <w:textDirection w:val="lrTb"/>
            <w:noWrap w:val="false"/>
          </w:tcPr>
          <w:p>
            <w:pPr>
              <w:pStyle w:val="929"/>
              <w:jc w:val="center"/>
              <w:spacing w:beforeAutospacing="0" w:afterAutospacing="0"/>
              <w:rPr>
                <w:highlight w:val="none"/>
              </w:rPr>
            </w:pPr>
            <w:r>
              <w:rPr>
                <w:highlight w:val="none"/>
              </w:rPr>
            </w:r>
            <w:r/>
          </w:p>
        </w:tc>
        <w:tc>
          <w:tcPr>
            <w:tcW w:w="801" w:type="dxa"/>
            <w:vAlign w:val="center"/>
            <w:textDirection w:val="lrTb"/>
            <w:noWrap w:val="false"/>
          </w:tcPr>
          <w:p>
            <w:pPr>
              <w:pStyle w:val="929"/>
              <w:jc w:val="center"/>
              <w:spacing w:beforeAutospacing="0" w:afterAutospacing="0"/>
              <w:rPr>
                <w:highlight w:val="none"/>
              </w:rPr>
            </w:pPr>
            <w:r>
              <w:rPr>
                <w:highlight w:val="none"/>
              </w:rPr>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tcW w:w="6654" w:type="dxa"/>
            <w:vAlign w:val="center"/>
            <w:textDirection w:val="lrTb"/>
            <w:noWrap w:val="false"/>
          </w:tcPr>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质量要求：</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1.质量等级为“合格”,并符合招标文件中技术要求、国家现行的相关规范标准及有关部门颁布的较高标准；项目确保按规范和标准验收，且达国家合格标准。</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投标单位不能简单照搬招标文件提供的需求，必须按招标文件技术规格作出实质性应答，如照搬照抄项目需求中的技术的，中标后投标供应商在同采购人签订合同和履约环节中不得提出异议，一切后果和损失由中标供应商承担。</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3.投标人须明确所投设备的生产厂家、品牌、型号、规格等。</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投标人应保证货物是全新、未使用过的原厂合格产品，并完全符合招标文件规定的质量、规格和参数的要求。验收过程中发现产品不符合上述要求的，将视作不合格产品，使用方有权终止合同，造成的一切损失由供应商承担。 </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5.投标人应保证提供的产品不得侵犯第三方专利权、商标权和设计权、版权等。否则，供应商应负全部责任，并承担由此引起的一切后果。</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6.投标人应保证其货物在正确安装、正常使用下，在其使用寿命期内应具有满意的性能。</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7.投标人应采取必要的安全措施保证货物的运输及安装的安全，并承担货物的运输及安装过程中产生的风险。</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8.所有报价的产品的各项技术标准应当符合现行相关生产标准和规范及招标文件的要求。</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9.招标人将邀请专业人员，对安装到位的设备进行全面检查，发现使用不符合要求的产品，无条件更换，另交监管部门处理。</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10.供货时必须随产品提供出厂材料，包括但不限于检验报告、产品合格证（原件）以及设备的测试、运行、保养手册。</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提供的货物及服务如需接入医院HIS系统或其他数据接入及提取系统，上述接入费用由</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承担。招标人需将其他系统接入本次招标的货物及服务时，</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应免费配合接入，不得收取任何费用。如</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未能按上述需求免费接入对应系统或开放数据端口，则视为</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违约，由采购人自行接入，采购人有权扣除所有货款。</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投标前须自行勘察现场，如设备安装运行需涉及基建等前期改造，则相关一切费用均有</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自行承担，并包含在投标报价中，采购人不再另外支付。如因基建等改造导致工期延误，则视为</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违约，相关违约责任由</w:t>
            </w:r>
            <w:r>
              <w:rPr>
                <w:rFonts w:hint="eastAsia" w:ascii="宋体" w:hAnsi="宋体" w:eastAsia="宋体" w:cs="宋体"/>
                <w:b w:val="0"/>
                <w:bCs w:val="0"/>
                <w:sz w:val="21"/>
                <w:szCs w:val="21"/>
                <w:highlight w:val="none"/>
                <w:lang w:eastAsia="zh-CN"/>
              </w:rPr>
              <w:t xml:space="preserve">中标人</w:t>
            </w:r>
            <w:r>
              <w:rPr>
                <w:rFonts w:hint="eastAsia" w:ascii="宋体" w:hAnsi="宋体" w:eastAsia="宋体" w:cs="宋体"/>
                <w:b w:val="0"/>
                <w:bCs w:val="0"/>
                <w:sz w:val="21"/>
                <w:szCs w:val="21"/>
                <w:highlight w:val="none"/>
              </w:rPr>
              <w:t xml:space="preserve">承担，采购人有权扣除合同金额的10%作为合同违约金。</w:t>
            </w:r>
            <w:r/>
          </w:p>
        </w:tc>
        <w:tc>
          <w:tcPr>
            <w:tcW w:w="1007" w:type="dxa"/>
            <w:vAlign w:val="center"/>
            <w:textDirection w:val="lrTb"/>
            <w:noWrap w:val="false"/>
          </w:tcPr>
          <w:p>
            <w:pPr>
              <w:pStyle w:val="929"/>
              <w:jc w:val="center"/>
              <w:spacing w:beforeAutospacing="0" w:afterAutospacing="0"/>
              <w:rPr>
                <w:highlight w:val="none"/>
              </w:rPr>
            </w:pPr>
            <w:r>
              <w:rPr>
                <w:highlight w:val="none"/>
              </w:rPr>
            </w:r>
            <w:r/>
          </w:p>
        </w:tc>
        <w:tc>
          <w:tcPr>
            <w:tcW w:w="1267" w:type="dxa"/>
            <w:vAlign w:val="center"/>
            <w:textDirection w:val="lrTb"/>
            <w:noWrap w:val="false"/>
          </w:tcPr>
          <w:p>
            <w:pPr>
              <w:pStyle w:val="929"/>
              <w:jc w:val="center"/>
              <w:spacing w:beforeAutospacing="0" w:afterAutospacing="0"/>
              <w:rPr>
                <w:highlight w:val="none"/>
              </w:rPr>
            </w:pPr>
            <w:r>
              <w:rPr>
                <w:highlight w:val="none"/>
              </w:rPr>
            </w:r>
            <w:r/>
          </w:p>
        </w:tc>
        <w:tc>
          <w:tcPr>
            <w:tcW w:w="801" w:type="dxa"/>
            <w:vAlign w:val="center"/>
            <w:textDirection w:val="lrTb"/>
            <w:noWrap w:val="false"/>
          </w:tcPr>
          <w:p>
            <w:pPr>
              <w:pStyle w:val="929"/>
              <w:jc w:val="center"/>
              <w:spacing w:beforeAutospacing="0" w:afterAutospacing="0"/>
              <w:rPr>
                <w:highlight w:val="none"/>
              </w:rPr>
            </w:pPr>
            <w:r>
              <w:rPr>
                <w:highlight w:val="none"/>
              </w:rPr>
            </w:r>
            <w:r/>
          </w:p>
        </w:tc>
      </w:tr>
      <w:tr>
        <w:trPr>
          <w:tblCellSpacing w:w="0" w:type="dxa"/>
          <w:trHeight w:val="640"/>
        </w:trPr>
        <w:tc>
          <w:tcPr>
            <w:tcW w:w="742" w:type="dxa"/>
            <w:vAlign w:val="center"/>
            <w:textDirection w:val="lrTb"/>
            <w:noWrap w:val="false"/>
          </w:tcPr>
          <w:p>
            <w:pPr>
              <w:pStyle w:val="929"/>
              <w:jc w:val="center"/>
              <w:spacing w:beforeAutospacing="0" w:afterAutospacing="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tcW w:w="6654" w:type="dxa"/>
            <w:vAlign w:val="center"/>
            <w:textDirection w:val="lrTb"/>
            <w:noWrap w:val="false"/>
          </w:tcPr>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安装要求</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1.所有安装施工材料质量及施工质量必须严格按照国家规范及地方规范的有关要求执行。</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2.设备在安装时，应根据生产厂家所提供的产品安装说明书施工，安装辅材必须采用优质产品。</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3.中标人应对安装施工质量全面负责，文明、安全施工，如中标人原因造成质量事故、中标人承担一切经济法律责任。</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4.在实施期间，中标人应无条件的遵守施工现场的各项规章制度。</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5.实施期间，中标人应无条件的接受采购人的质量监督，提出的质量问题要及时整改，整改完毕后通知采购人检查验收，合格后书面报送采购人备案。</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6.中标人必须按照工程设计和技术标准施工，不得擅自修改工程设计，不得偷工减料。</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8.中标人必须负责安装过程中对采购人原有装修的破坏进行修复，恢复原状，该费用包含于总投标报价中。</w:t>
            </w:r>
            <w:r/>
          </w:p>
          <w:p>
            <w:pPr>
              <w:pStyle w:val="929"/>
              <w:jc w:val="left"/>
              <w:spacing w:beforeAutospacing="0" w:afterAutospacing="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9.中标人的报价包含了采购人现有场地条件下，进行设备的安装调试达到可使用状态，并含验收合格前的所有费用。</w:t>
            </w:r>
            <w:r/>
          </w:p>
        </w:tc>
        <w:tc>
          <w:tcPr>
            <w:tcW w:w="1007" w:type="dxa"/>
            <w:vAlign w:val="center"/>
            <w:textDirection w:val="lrTb"/>
            <w:noWrap w:val="false"/>
          </w:tcPr>
          <w:p>
            <w:pPr>
              <w:pStyle w:val="929"/>
              <w:jc w:val="center"/>
              <w:spacing w:beforeAutospacing="0" w:afterAutospacing="0"/>
              <w:rPr>
                <w:highlight w:val="none"/>
              </w:rPr>
            </w:pPr>
            <w:r>
              <w:rPr>
                <w:highlight w:val="none"/>
              </w:rPr>
            </w:r>
            <w:r/>
          </w:p>
        </w:tc>
        <w:tc>
          <w:tcPr>
            <w:tcW w:w="1267" w:type="dxa"/>
            <w:vAlign w:val="center"/>
            <w:textDirection w:val="lrTb"/>
            <w:noWrap w:val="false"/>
          </w:tcPr>
          <w:p>
            <w:pPr>
              <w:pStyle w:val="929"/>
              <w:jc w:val="center"/>
              <w:spacing w:beforeAutospacing="0" w:afterAutospacing="0"/>
              <w:rPr>
                <w:highlight w:val="none"/>
              </w:rPr>
            </w:pPr>
            <w:r>
              <w:rPr>
                <w:highlight w:val="none"/>
              </w:rPr>
            </w:r>
            <w:r/>
          </w:p>
        </w:tc>
        <w:tc>
          <w:tcPr>
            <w:tcW w:w="801" w:type="dxa"/>
            <w:vAlign w:val="center"/>
            <w:textDirection w:val="lrTb"/>
            <w:noWrap w:val="false"/>
          </w:tcPr>
          <w:p>
            <w:pPr>
              <w:pStyle w:val="929"/>
              <w:jc w:val="center"/>
              <w:spacing w:beforeAutospacing="0" w:afterAutospacing="0"/>
              <w:rPr>
                <w:highlight w:val="none"/>
              </w:rPr>
            </w:pPr>
            <w:r>
              <w:rPr>
                <w:highlight w:val="none"/>
              </w:rPr>
            </w:r>
            <w:r/>
          </w:p>
        </w:tc>
      </w:tr>
      <w:tr>
        <w:trPr>
          <w:tblCellSpacing w:w="0" w:type="dxa"/>
          <w:trHeight w:val="538"/>
        </w:trPr>
        <w:tc>
          <w:tcPr>
            <w:tcW w:w="742" w:type="dxa"/>
            <w:vAlign w:val="center"/>
            <w:textDirection w:val="lrTb"/>
            <w:noWrap w:val="false"/>
          </w:tcPr>
          <w:p>
            <w:pPr>
              <w:pStyle w:val="929"/>
              <w:jc w:val="center"/>
              <w:spacing w:beforeAutospacing="0" w:afterAutospacing="0"/>
              <w:rPr>
                <w:rFonts w:hint="eastAsia" w:eastAsia="宋体"/>
                <w:highlight w:val="none"/>
                <w:lang w:val="en-US" w:eastAsia="zh-CN"/>
              </w:rPr>
            </w:pPr>
            <w:r>
              <w:rPr>
                <w:rFonts w:hint="eastAsia"/>
                <w:highlight w:val="none"/>
                <w:lang w:val="en-US" w:eastAsia="zh-CN"/>
              </w:rPr>
              <w:t xml:space="preserve">9</w:t>
            </w:r>
            <w:r/>
          </w:p>
        </w:tc>
        <w:tc>
          <w:tcPr>
            <w:tcW w:w="6654" w:type="dxa"/>
            <w:vAlign w:val="center"/>
            <w:textDirection w:val="lrTb"/>
            <w:noWrap w:val="false"/>
          </w:tcPr>
          <w:p>
            <w:pPr>
              <w:pStyle w:val="733"/>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培训</w:t>
            </w:r>
            <w:r>
              <w:rPr>
                <w:rFonts w:hint="eastAsia" w:ascii="宋体" w:hAnsi="宋体" w:eastAsia="宋体" w:cs="宋体"/>
                <w:b w:val="0"/>
                <w:bCs w:val="0"/>
                <w:color w:val="000000"/>
                <w:sz w:val="21"/>
                <w:szCs w:val="21"/>
              </w:rPr>
              <w:t xml:space="preserve">要求</w:t>
            </w:r>
            <w:r/>
          </w:p>
          <w:p>
            <w:pPr>
              <w:rPr>
                <w:rFonts w:hint="eastAsia" w:ascii="宋体" w:hAnsi="宋体" w:eastAsia="宋体" w:cs="宋体"/>
                <w:b w:val="0"/>
                <w:bCs w:val="0"/>
                <w:sz w:val="21"/>
                <w:szCs w:val="21"/>
                <w:lang w:val="en-US" w:eastAsia="zh-CN"/>
              </w:rPr>
            </w:pPr>
            <w:r>
              <w:rPr>
                <w:rFonts w:hint="eastAsia" w:ascii="宋体" w:hAnsi="宋体" w:eastAsia="宋体" w:cs="宋体"/>
                <w:b w:val="0"/>
                <w:bCs w:val="0"/>
                <w:color w:val="000000"/>
                <w:sz w:val="21"/>
                <w:szCs w:val="21"/>
                <w:lang w:val="en-US" w:eastAsia="zh-CN"/>
              </w:rPr>
              <w:t xml:space="preserve"> （一）总体要求</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rPr>
              <w:t xml:space="preserve">中标人必须提供</w:t>
            </w:r>
            <w:r>
              <w:rPr>
                <w:rStyle w:val="762"/>
                <w:rFonts w:hint="eastAsia" w:ascii="宋体" w:hAnsi="宋体" w:eastAsia="宋体" w:cs="宋体"/>
                <w:b w:val="0"/>
                <w:bCs w:val="0"/>
                <w:color w:val="000000"/>
                <w:sz w:val="21"/>
                <w:szCs w:val="21"/>
              </w:rPr>
              <w:t xml:space="preserve">免费、专业、完整的全流程培训</w:t>
            </w:r>
            <w:r>
              <w:rPr>
                <w:rFonts w:hint="eastAsia" w:ascii="宋体" w:hAnsi="宋体" w:eastAsia="宋体" w:cs="宋体"/>
                <w:b w:val="0"/>
                <w:bCs w:val="0"/>
                <w:color w:val="000000"/>
                <w:sz w:val="21"/>
                <w:szCs w:val="21"/>
              </w:rPr>
              <w:t xml:space="preserve">，培训费用全部包含在投标报价中，采购人不再另行支付任何费用。</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培训对象：</w:t>
            </w:r>
            <w:r>
              <w:rPr>
                <w:rStyle w:val="762"/>
                <w:rFonts w:hint="eastAsia" w:ascii="宋体" w:hAnsi="宋体" w:eastAsia="宋体" w:cs="宋体"/>
                <w:b w:val="0"/>
                <w:bCs w:val="0"/>
                <w:color w:val="000000"/>
                <w:sz w:val="21"/>
                <w:szCs w:val="21"/>
              </w:rPr>
              <w:t xml:space="preserve">公安民警、辅警、运维人员、平台管理员、无人机飞手</w:t>
            </w:r>
            <w:r>
              <w:rPr>
                <w:rFonts w:hint="eastAsia" w:ascii="宋体" w:hAnsi="宋体" w:eastAsia="宋体" w:cs="宋体"/>
                <w:b w:val="0"/>
                <w:bCs w:val="0"/>
                <w:color w:val="000000"/>
                <w:sz w:val="21"/>
                <w:szCs w:val="21"/>
              </w:rPr>
              <w:t xml:space="preserve">等，</w:t>
            </w:r>
            <w:r>
              <w:rPr>
                <w:rStyle w:val="762"/>
                <w:rFonts w:hint="eastAsia" w:ascii="宋体" w:hAnsi="宋体" w:eastAsia="宋体" w:cs="宋体"/>
                <w:b w:val="0"/>
                <w:bCs w:val="0"/>
                <w:color w:val="000000"/>
                <w:sz w:val="21"/>
                <w:szCs w:val="21"/>
              </w:rPr>
              <w:t xml:space="preserve">总人数不少20人</w:t>
            </w:r>
            <w:r>
              <w:rPr>
                <w:rStyle w:val="762"/>
                <w:rFonts w:hint="eastAsia" w:ascii="宋体" w:hAnsi="宋体" w:eastAsia="宋体" w:cs="宋体"/>
                <w:b w:val="0"/>
                <w:bCs w:val="0"/>
                <w:color w:val="000000"/>
                <w:sz w:val="21"/>
                <w:szCs w:val="21"/>
                <w:lang w:eastAsia="zh-CN"/>
              </w:rPr>
              <w:t xml:space="preserve">（</w:t>
            </w:r>
            <w:r>
              <w:rPr>
                <w:rStyle w:val="762"/>
                <w:rFonts w:hint="eastAsia" w:ascii="宋体" w:hAnsi="宋体" w:eastAsia="宋体" w:cs="宋体"/>
                <w:b w:val="0"/>
                <w:bCs w:val="0"/>
                <w:color w:val="000000"/>
                <w:sz w:val="21"/>
                <w:szCs w:val="21"/>
                <w:lang w:val="en-US" w:eastAsia="zh-CN"/>
              </w:rPr>
              <w:t xml:space="preserve">具体以采购人的要求为准</w:t>
            </w:r>
            <w:r>
              <w:rPr>
                <w:rStyle w:val="762"/>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培训地点：</w:t>
            </w:r>
            <w:r>
              <w:rPr>
                <w:rStyle w:val="762"/>
                <w:rFonts w:hint="eastAsia" w:ascii="宋体" w:hAnsi="宋体" w:eastAsia="宋体" w:cs="宋体"/>
                <w:b w:val="0"/>
                <w:bCs w:val="0"/>
                <w:color w:val="000000"/>
                <w:sz w:val="21"/>
                <w:szCs w:val="21"/>
              </w:rPr>
              <w:t xml:space="preserve">滨海县公安局指定地点</w:t>
            </w:r>
            <w:r>
              <w:rPr>
                <w:rFonts w:hint="eastAsia" w:ascii="宋体" w:hAnsi="宋体" w:eastAsia="宋体" w:cs="宋体"/>
                <w:b w:val="0"/>
                <w:bCs w:val="0"/>
                <w:color w:val="000000"/>
                <w:sz w:val="21"/>
                <w:szCs w:val="21"/>
              </w:rPr>
              <w:t xml:space="preserve">；特殊专业内容可安排厂家现场培训。</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培训形式：理论授课 + 现场实操 + 故障演练 + 考核发证。</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培训语言：</w:t>
            </w:r>
            <w:r>
              <w:rPr>
                <w:rStyle w:val="762"/>
                <w:rFonts w:hint="eastAsia" w:ascii="宋体" w:hAnsi="宋体" w:eastAsia="宋体" w:cs="宋体"/>
                <w:b w:val="0"/>
                <w:bCs w:val="0"/>
                <w:color w:val="000000"/>
                <w:sz w:val="21"/>
                <w:szCs w:val="21"/>
              </w:rPr>
              <w:t xml:space="preserve">简体中文</w:t>
            </w:r>
            <w:r>
              <w:rPr>
                <w:rFonts w:hint="eastAsia" w:ascii="宋体" w:hAnsi="宋体" w:eastAsia="宋体" w:cs="宋体"/>
                <w:b w:val="0"/>
                <w:bCs w:val="0"/>
                <w:color w:val="000000"/>
                <w:sz w:val="21"/>
                <w:szCs w:val="21"/>
              </w:rPr>
              <w:t xml:space="preserve">，提供完整电子版教材、操作手册、视频教程。</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培训目标：</w:t>
            </w:r>
            <w:r>
              <w:rPr>
                <w:rStyle w:val="762"/>
                <w:rFonts w:hint="eastAsia" w:ascii="宋体" w:hAnsi="宋体" w:eastAsia="宋体" w:cs="宋体"/>
                <w:b w:val="0"/>
                <w:bCs w:val="0"/>
                <w:color w:val="000000"/>
                <w:sz w:val="21"/>
                <w:szCs w:val="21"/>
              </w:rPr>
              <w:t xml:space="preserve">参训人员独立操作、独立维护、独立排故、独立应急处置</w:t>
            </w:r>
            <w:r>
              <w:rPr>
                <w:rFonts w:hint="eastAsia" w:ascii="宋体" w:hAnsi="宋体" w:eastAsia="宋体" w:cs="宋体"/>
                <w:b w:val="0"/>
                <w:bCs w:val="0"/>
                <w:color w:val="000000"/>
                <w:sz w:val="21"/>
                <w:szCs w:val="21"/>
              </w:rPr>
              <w:t xml:space="preserve">，经考核合格方可上岗。</w:t>
            </w:r>
            <w:r/>
          </w:p>
          <w:p>
            <w:pPr>
              <w:pStyle w:val="733"/>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二</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分系统培训内容</w:t>
            </w:r>
            <w:r/>
          </w:p>
          <w:p>
            <w:pPr>
              <w:pStyle w:val="734"/>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rPr>
              <w:t xml:space="preserve">前端抓拍系统培训（货车、非机动车、违停、高速卡口）</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1.1</w:t>
            </w:r>
            <w:r>
              <w:rPr>
                <w:rFonts w:hint="eastAsia" w:ascii="宋体" w:hAnsi="宋体" w:eastAsia="宋体" w:cs="宋体"/>
                <w:b w:val="0"/>
                <w:bCs w:val="0"/>
                <w:color w:val="000000"/>
                <w:sz w:val="21"/>
                <w:szCs w:val="21"/>
              </w:rPr>
              <w:t xml:space="preserve">设备原理、参数、接口、接线规范；</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1.2</w:t>
            </w:r>
            <w:r>
              <w:rPr>
                <w:rFonts w:hint="eastAsia" w:ascii="宋体" w:hAnsi="宋体" w:eastAsia="宋体" w:cs="宋体"/>
                <w:b w:val="0"/>
                <w:bCs w:val="0"/>
                <w:color w:val="000000"/>
                <w:sz w:val="21"/>
                <w:szCs w:val="21"/>
              </w:rPr>
              <w:t xml:space="preserve">安装调试、参数配置、校准流程；</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1.3</w:t>
            </w:r>
            <w:r>
              <w:rPr>
                <w:rFonts w:hint="eastAsia" w:ascii="宋体" w:hAnsi="宋体" w:eastAsia="宋体" w:cs="宋体"/>
                <w:b w:val="0"/>
                <w:bCs w:val="0"/>
                <w:color w:val="000000"/>
                <w:sz w:val="21"/>
                <w:szCs w:val="21"/>
              </w:rPr>
              <w:t xml:space="preserve">日常巡检、清洁、防雷、维护保养；</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1.4</w:t>
            </w:r>
            <w:r>
              <w:rPr>
                <w:rFonts w:hint="eastAsia" w:ascii="宋体" w:hAnsi="宋体" w:eastAsia="宋体" w:cs="宋体"/>
                <w:b w:val="0"/>
                <w:bCs w:val="0"/>
                <w:color w:val="000000"/>
                <w:sz w:val="21"/>
                <w:szCs w:val="21"/>
              </w:rPr>
              <w:t xml:space="preserve">常见故障排查：离线、无抓拍、识别失败、卡顿、丢包、电源故障、网络故障；</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rPr>
              <w:t xml:space="preserve">后台操作：设备管理、抓拍查看、回放、导出、统计、参数下发、远程维护；</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1.6</w:t>
            </w:r>
            <w:r>
              <w:rPr>
                <w:rFonts w:hint="eastAsia" w:ascii="宋体" w:hAnsi="宋体" w:eastAsia="宋体" w:cs="宋体"/>
                <w:b w:val="0"/>
                <w:bCs w:val="0"/>
                <w:color w:val="000000"/>
                <w:sz w:val="21"/>
                <w:szCs w:val="21"/>
              </w:rPr>
              <w:t xml:space="preserve">数据安全、权限管理、日志查询、异常告警处置；</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1.7</w:t>
            </w:r>
            <w:r>
              <w:rPr>
                <w:rFonts w:hint="eastAsia" w:ascii="宋体" w:hAnsi="宋体" w:eastAsia="宋体" w:cs="宋体"/>
                <w:b w:val="0"/>
                <w:bCs w:val="0"/>
                <w:color w:val="000000"/>
                <w:sz w:val="21"/>
                <w:szCs w:val="21"/>
              </w:rPr>
              <w:t xml:space="preserve">应急处置：设备断电、雷击、损坏、快速更换流程。</w:t>
            </w:r>
            <w:r/>
          </w:p>
          <w:p>
            <w:pPr>
              <w:pStyle w:val="734"/>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无人机系统专项培训</w:t>
            </w:r>
            <w:r/>
          </w:p>
          <w:p>
            <w:pPr>
              <w:ind w:left="0" w:right="0"/>
              <w:jc w:val="left"/>
              <w:keepLines w:val="0"/>
              <w:keepNext w:val="0"/>
              <w:spacing w:before="0" w:beforeAutospacing="0" w:after="0" w:afterAutospacing="0" w:line="360" w:lineRule="atLeast"/>
              <w:widowControl/>
              <w:rPr>
                <w:rStyle w:val="762"/>
                <w:rFonts w:hint="eastAsia" w:ascii="宋体" w:hAnsi="宋体" w:eastAsia="宋体" w:cs="宋体"/>
                <w:b w:val="0"/>
                <w:bCs w:val="0"/>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bidi="ar"/>
              </w:rPr>
              <w:t xml:space="preserve">理论培训（不少于8学时）</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民航法规、空域管理、禁飞区、安全规范；</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无人机原理、结构、电池、机库、遥控器、软件平台；</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飞行原理、航线规划、安全飞行、应急处置。</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bidi="ar"/>
              </w:rPr>
              <w:t xml:space="preserve">实操培训（不少于20学时）</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无人机起降、悬停、航线飞行、自动返航；</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机库自动起降、充电、维护、远程操作；</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云台控制、图像回传、AI 识别、喊话、取证；</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异常处置：低电量、失联、大风、失控、迫降、应急返航。</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bidi="ar"/>
              </w:rPr>
              <w:t xml:space="preserve">平台操作培训（不少于8学时）</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平台登录、权限、设备管理、航线管理；</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实时监控、视频回传、AI 事件处置、轨迹回放；</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数据导出、统计、报表、平台维护。</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bidi="ar"/>
              </w:rPr>
              <w:t xml:space="preserve">持证要求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中标人须为采购人提供免费、专业、系统的无人机操作及安全培训，确保培训后不少于6名参训人员取得国家认可、合法有效的无人机相关职业技能证书/驾驶员合格证书，培训及取证费用均包含在投标报价中，采购人不另行支付任何费用。</w:t>
            </w:r>
            <w:r/>
          </w:p>
          <w:p>
            <w:pPr>
              <w:pStyle w:val="734"/>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三</w:t>
            </w:r>
            <w:r>
              <w:rPr>
                <w:rFonts w:hint="eastAsia" w:ascii="宋体" w:hAnsi="宋体" w:eastAsia="宋体" w:cs="宋体"/>
                <w:b w:val="0"/>
                <w:bCs w:val="0"/>
                <w:color w:val="000000"/>
                <w:sz w:val="21"/>
                <w:szCs w:val="21"/>
              </w:rPr>
              <w:t xml:space="preserve">）中心平台与运维培训</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服务器、存储、交换机、网络架构原理；</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平台安装、配置、权限、备份、恢复；</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系统监控、告警、日志、性能调优；</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日常巡检、数据备份、故障排查、应急恢复；</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与公安平台对接、数据同步、接口维护；</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病毒防护、漏洞修复、安全加固、等保配合。</w:t>
            </w:r>
            <w:r/>
          </w:p>
          <w:p>
            <w:pPr>
              <w:pStyle w:val="734"/>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四</w:t>
            </w:r>
            <w:r>
              <w:rPr>
                <w:rFonts w:hint="eastAsia" w:ascii="宋体" w:hAnsi="宋体" w:eastAsia="宋体" w:cs="宋体"/>
                <w:b w:val="0"/>
                <w:bCs w:val="0"/>
                <w:color w:val="000000"/>
                <w:sz w:val="21"/>
                <w:szCs w:val="21"/>
              </w:rPr>
              <w:t xml:space="preserve">）综合应急处置培训</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大面积设备离线、网络中断、系统崩溃处置流程；</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雷击、断电、高温、暴雨等极端天气处置；</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数据泄露、网络攻击、安全事件处置；</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重大活动保障、快速排故、备用设备启用流程。</w:t>
            </w:r>
            <w:r/>
          </w:p>
          <w:p>
            <w:pPr>
              <w:pStyle w:val="733"/>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五</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培训资料要求</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提供</w:t>
            </w:r>
            <w:r>
              <w:rPr>
                <w:rStyle w:val="762"/>
                <w:rFonts w:hint="eastAsia" w:ascii="宋体" w:hAnsi="宋体" w:eastAsia="宋体" w:cs="宋体"/>
                <w:b w:val="0"/>
                <w:bCs w:val="0"/>
                <w:color w:val="000000"/>
                <w:sz w:val="21"/>
                <w:szCs w:val="21"/>
              </w:rPr>
              <w:t xml:space="preserve">全套纸质 + 电子版培训教材、操作手册、维护手册、故障手册、视频教程</w:t>
            </w:r>
            <w:r>
              <w:rPr>
                <w:rFonts w:hint="eastAsia" w:ascii="宋体" w:hAnsi="宋体" w:eastAsia="宋体" w:cs="宋体"/>
                <w:b w:val="0"/>
                <w:bCs w:val="0"/>
                <w:color w:val="000000"/>
                <w:sz w:val="21"/>
                <w:szCs w:val="21"/>
              </w:rPr>
              <w:t xml:space="preserve">；</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资料需详细、图文并茂、通俗易懂、可直接用于日常运维；</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所有资料加盖中标人公章，</w:t>
            </w:r>
            <w:r>
              <w:rPr>
                <w:rStyle w:val="762"/>
                <w:rFonts w:hint="eastAsia" w:ascii="宋体" w:hAnsi="宋体" w:eastAsia="宋体" w:cs="宋体"/>
                <w:b w:val="0"/>
                <w:bCs w:val="0"/>
                <w:color w:val="000000"/>
                <w:sz w:val="21"/>
                <w:szCs w:val="21"/>
              </w:rPr>
              <w:t xml:space="preserve">验收时一并归档</w:t>
            </w:r>
            <w:r>
              <w:rPr>
                <w:rFonts w:hint="eastAsia" w:ascii="宋体" w:hAnsi="宋体" w:eastAsia="宋体" w:cs="宋体"/>
                <w:b w:val="0"/>
                <w:bCs w:val="0"/>
                <w:color w:val="000000"/>
                <w:sz w:val="21"/>
                <w:szCs w:val="21"/>
              </w:rPr>
              <w:t xml:space="preserve">。</w:t>
            </w:r>
            <w:r/>
          </w:p>
          <w:p>
            <w:pPr>
              <w:pStyle w:val="733"/>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六</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培训责任</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培训不合格人员，中标人需</w:t>
            </w:r>
            <w:r>
              <w:rPr>
                <w:rStyle w:val="762"/>
                <w:rFonts w:hint="eastAsia" w:ascii="宋体" w:hAnsi="宋体" w:eastAsia="宋体" w:cs="宋体"/>
                <w:b w:val="0"/>
                <w:bCs w:val="0"/>
                <w:color w:val="000000"/>
                <w:sz w:val="21"/>
                <w:szCs w:val="21"/>
              </w:rPr>
              <w:t xml:space="preserve">免费重训，直至合格</w:t>
            </w:r>
            <w:r>
              <w:rPr>
                <w:rFonts w:hint="eastAsia" w:ascii="宋体" w:hAnsi="宋体" w:eastAsia="宋体" w:cs="宋体"/>
                <w:b w:val="0"/>
                <w:bCs w:val="0"/>
                <w:color w:val="000000"/>
                <w:sz w:val="21"/>
                <w:szCs w:val="21"/>
              </w:rPr>
              <w:t xml:space="preserve">；</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培训期间发生安全事故，由中标人承担全部责任；</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培训效果纳入验收，</w:t>
            </w:r>
            <w:r>
              <w:rPr>
                <w:rStyle w:val="762"/>
                <w:rFonts w:hint="eastAsia" w:ascii="宋体" w:hAnsi="宋体" w:eastAsia="宋体" w:cs="宋体"/>
                <w:b w:val="0"/>
                <w:bCs w:val="0"/>
                <w:color w:val="000000"/>
                <w:sz w:val="21"/>
                <w:szCs w:val="21"/>
              </w:rPr>
              <w:t xml:space="preserve">培训不合格不予验收、不予付款</w:t>
            </w:r>
            <w:r>
              <w:rPr>
                <w:rFonts w:hint="eastAsia" w:ascii="宋体" w:hAnsi="宋体" w:eastAsia="宋体" w:cs="宋体"/>
                <w:b w:val="0"/>
                <w:bCs w:val="0"/>
                <w:color w:val="000000"/>
                <w:sz w:val="21"/>
                <w:szCs w:val="21"/>
              </w:rPr>
              <w:t xml:space="preserve">。</w:t>
            </w:r>
            <w:r/>
          </w:p>
        </w:tc>
        <w:tc>
          <w:tcPr>
            <w:tcW w:w="1007" w:type="dxa"/>
            <w:vAlign w:val="center"/>
            <w:textDirection w:val="lrTb"/>
            <w:noWrap w:val="false"/>
          </w:tcPr>
          <w:p>
            <w:pPr>
              <w:pStyle w:val="929"/>
              <w:jc w:val="center"/>
              <w:spacing w:beforeAutospacing="0" w:afterAutospacing="0"/>
              <w:rPr>
                <w:highlight w:val="none"/>
              </w:rPr>
            </w:pPr>
            <w:r>
              <w:rPr>
                <w:highlight w:val="none"/>
              </w:rPr>
            </w:r>
            <w:r/>
          </w:p>
        </w:tc>
        <w:tc>
          <w:tcPr>
            <w:tcW w:w="1267" w:type="dxa"/>
            <w:vAlign w:val="center"/>
            <w:textDirection w:val="lrTb"/>
            <w:noWrap w:val="false"/>
          </w:tcPr>
          <w:p>
            <w:pPr>
              <w:pStyle w:val="929"/>
              <w:jc w:val="center"/>
              <w:spacing w:beforeAutospacing="0" w:afterAutospacing="0"/>
              <w:rPr>
                <w:highlight w:val="none"/>
              </w:rPr>
            </w:pPr>
            <w:r>
              <w:rPr>
                <w:highlight w:val="none"/>
              </w:rPr>
            </w:r>
            <w:r/>
          </w:p>
        </w:tc>
        <w:tc>
          <w:tcPr>
            <w:tcW w:w="801" w:type="dxa"/>
            <w:vAlign w:val="center"/>
            <w:textDirection w:val="lrTb"/>
            <w:noWrap w:val="false"/>
          </w:tcPr>
          <w:p>
            <w:pPr>
              <w:pStyle w:val="929"/>
              <w:jc w:val="center"/>
              <w:spacing w:beforeAutospacing="0" w:afterAutospacing="0"/>
              <w:rPr>
                <w:highlight w:val="none"/>
              </w:rPr>
            </w:pPr>
            <w:r>
              <w:rPr>
                <w:highlight w:val="none"/>
              </w:rPr>
            </w:r>
            <w:r/>
          </w:p>
        </w:tc>
      </w:tr>
      <w:tr>
        <w:trPr>
          <w:tblCellSpacing w:w="0" w:type="dxa"/>
          <w:trHeight w:val="538"/>
        </w:trPr>
        <w:tc>
          <w:tcPr>
            <w:tcW w:w="742" w:type="dxa"/>
            <w:vAlign w:val="center"/>
            <w:textDirection w:val="lrTb"/>
            <w:noWrap w:val="false"/>
          </w:tcPr>
          <w:p>
            <w:pPr>
              <w:pStyle w:val="929"/>
              <w:jc w:val="center"/>
              <w:spacing w:beforeAutospacing="0" w:afterAutospacing="0"/>
              <w:rPr>
                <w:rFonts w:hint="default" w:eastAsia="宋体"/>
                <w:highlight w:val="none"/>
                <w:lang w:val="en-US" w:eastAsia="zh-CN"/>
              </w:rPr>
            </w:pPr>
            <w:r>
              <w:rPr>
                <w:rFonts w:hint="eastAsia"/>
                <w:highlight w:val="none"/>
                <w:lang w:val="en-US" w:eastAsia="zh-CN"/>
              </w:rPr>
              <w:t xml:space="preserve">10</w:t>
            </w:r>
            <w:r/>
          </w:p>
        </w:tc>
        <w:tc>
          <w:tcPr>
            <w:tcW w:w="6654" w:type="dxa"/>
            <w:vAlign w:val="center"/>
            <w:textDirection w:val="lrTb"/>
            <w:noWrap w:val="false"/>
          </w:tcPr>
          <w:p>
            <w:pPr>
              <w:pStyle w:val="733"/>
              <w:ind w:left="0" w:right="0"/>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验收标准及要求</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rPr>
              <w:t xml:space="preserve">1、</w:t>
            </w:r>
            <w:r>
              <w:rPr>
                <w:rStyle w:val="762"/>
                <w:rFonts w:hint="eastAsia" w:ascii="宋体" w:hAnsi="宋体" w:eastAsia="宋体" w:cs="宋体"/>
                <w:b w:val="0"/>
                <w:bCs w:val="0"/>
                <w:color w:val="000000"/>
                <w:sz w:val="21"/>
                <w:szCs w:val="21"/>
              </w:rPr>
              <w:t xml:space="preserve">总体验收要求</w:t>
            </w:r>
            <w:r>
              <w:rPr>
                <w:rFonts w:hint="eastAsia" w:ascii="宋体" w:hAnsi="宋体" w:eastAsia="宋体" w:cs="宋体"/>
                <w:b w:val="0"/>
                <w:bCs w:val="0"/>
                <w:color w:val="000000"/>
                <w:sz w:val="21"/>
                <w:szCs w:val="21"/>
              </w:rPr>
              <w:t xml:space="preserve">：本项目验收严格按照国家、行业现行规范、招标文件技术参数、投标承诺及施工图纸执行，</w:t>
            </w:r>
            <w:r>
              <w:rPr>
                <w:rStyle w:val="762"/>
                <w:rFonts w:hint="eastAsia" w:ascii="宋体" w:hAnsi="宋体" w:eastAsia="宋体" w:cs="宋体"/>
                <w:b w:val="0"/>
                <w:bCs w:val="0"/>
                <w:color w:val="000000"/>
                <w:sz w:val="21"/>
                <w:szCs w:val="21"/>
              </w:rPr>
              <w:t xml:space="preserve">验收不合格不予支付尾款</w:t>
            </w:r>
            <w:r>
              <w:rPr>
                <w:rFonts w:hint="eastAsia" w:ascii="宋体" w:hAnsi="宋体" w:eastAsia="宋体" w:cs="宋体"/>
                <w:b w:val="0"/>
                <w:bCs w:val="0"/>
                <w:color w:val="000000"/>
                <w:sz w:val="21"/>
                <w:szCs w:val="21"/>
              </w:rPr>
              <w:t xml:space="preserve">。</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Style w:val="762"/>
                <w:rFonts w:hint="eastAsia" w:ascii="宋体" w:hAnsi="宋体" w:eastAsia="宋体" w:cs="宋体"/>
                <w:b w:val="0"/>
                <w:bCs w:val="0"/>
                <w:color w:val="000000"/>
                <w:sz w:val="21"/>
                <w:szCs w:val="21"/>
                <w:lang w:val="en-US" w:eastAsia="zh-CN"/>
              </w:rPr>
              <w:t xml:space="preserve">2、</w:t>
            </w:r>
            <w:r>
              <w:rPr>
                <w:rStyle w:val="762"/>
                <w:rFonts w:hint="eastAsia" w:ascii="宋体" w:hAnsi="宋体" w:eastAsia="宋体" w:cs="宋体"/>
                <w:b w:val="0"/>
                <w:bCs w:val="0"/>
                <w:color w:val="000000"/>
                <w:sz w:val="21"/>
                <w:szCs w:val="21"/>
              </w:rPr>
              <w:t xml:space="preserve">验收流程</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施工单位自检→监理预验收→采购人组织正式验收；</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正式验收需提供：</w:t>
            </w:r>
            <w:r>
              <w:rPr>
                <w:rStyle w:val="762"/>
                <w:rFonts w:hint="eastAsia" w:ascii="宋体" w:hAnsi="宋体" w:eastAsia="宋体" w:cs="宋体"/>
                <w:b w:val="0"/>
                <w:bCs w:val="0"/>
                <w:color w:val="000000"/>
                <w:sz w:val="21"/>
                <w:szCs w:val="21"/>
              </w:rPr>
              <w:t xml:space="preserve">竣工报告、检测报告、合格证、培训记录、竣工图</w:t>
            </w:r>
            <w:r>
              <w:rPr>
                <w:rFonts w:hint="eastAsia" w:ascii="宋体" w:hAnsi="宋体" w:eastAsia="宋体" w:cs="宋体"/>
                <w:b w:val="0"/>
                <w:bCs w:val="0"/>
                <w:color w:val="000000"/>
                <w:sz w:val="21"/>
                <w:szCs w:val="21"/>
              </w:rPr>
              <w:t xml:space="preserve">；</w:t>
            </w:r>
            <w:r/>
          </w:p>
          <w:p>
            <w:pPr>
              <w:numPr>
                <w:ilvl w:val="0"/>
                <w:numId w:val="0"/>
              </w:numPr>
              <w:ind w:left="-360" w:right="0" w:firstLine="420"/>
              <w:jc w:val="left"/>
              <w:keepLines w:val="0"/>
              <w:keepNext w:val="0"/>
              <w:spacing w:before="0" w:beforeAutospacing="0" w:after="0" w:afterAutospacing="0" w:line="360" w:lineRule="atLeast"/>
              <w:widowControl/>
              <w:rPr>
                <w:rFonts w:hint="eastAsia" w:ascii="宋体" w:hAnsi="宋体" w:eastAsia="宋体" w:cs="宋体"/>
                <w:b w:val="0"/>
                <w:bCs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rPr>
              <w:t xml:space="preserve">验收不合格，施工单位7日内整改，整改后仍不合格，采购人有权</w:t>
            </w:r>
            <w:r>
              <w:rPr>
                <w:rStyle w:val="762"/>
                <w:rFonts w:hint="eastAsia" w:ascii="宋体" w:hAnsi="宋体" w:eastAsia="宋体" w:cs="宋体"/>
                <w:b w:val="0"/>
                <w:bCs w:val="0"/>
                <w:color w:val="000000"/>
                <w:sz w:val="21"/>
                <w:szCs w:val="21"/>
              </w:rPr>
              <w:t xml:space="preserve">终止合同、没收履约保证金、扣除全部尾款</w:t>
            </w:r>
            <w:r>
              <w:rPr>
                <w:rFonts w:hint="eastAsia" w:ascii="宋体" w:hAnsi="宋体" w:eastAsia="宋体" w:cs="宋体"/>
                <w:b w:val="0"/>
                <w:bCs w:val="0"/>
                <w:color w:val="000000"/>
                <w:sz w:val="21"/>
                <w:szCs w:val="21"/>
              </w:rPr>
              <w:t xml:space="preserve">。</w:t>
            </w:r>
            <w:r/>
          </w:p>
        </w:tc>
        <w:tc>
          <w:tcPr>
            <w:tcW w:w="1007" w:type="dxa"/>
            <w:vAlign w:val="center"/>
            <w:textDirection w:val="lrTb"/>
            <w:noWrap w:val="false"/>
          </w:tcPr>
          <w:p>
            <w:pPr>
              <w:pStyle w:val="929"/>
              <w:jc w:val="center"/>
              <w:spacing w:beforeAutospacing="0" w:afterAutospacing="0"/>
              <w:rPr>
                <w:highlight w:val="none"/>
              </w:rPr>
            </w:pPr>
            <w:r>
              <w:rPr>
                <w:highlight w:val="none"/>
              </w:rPr>
            </w:r>
            <w:r/>
          </w:p>
        </w:tc>
        <w:tc>
          <w:tcPr>
            <w:tcW w:w="1267" w:type="dxa"/>
            <w:vAlign w:val="center"/>
            <w:textDirection w:val="lrTb"/>
            <w:noWrap w:val="false"/>
          </w:tcPr>
          <w:p>
            <w:pPr>
              <w:pStyle w:val="929"/>
              <w:jc w:val="center"/>
              <w:spacing w:beforeAutospacing="0" w:afterAutospacing="0"/>
              <w:rPr>
                <w:highlight w:val="none"/>
              </w:rPr>
            </w:pPr>
            <w:r>
              <w:rPr>
                <w:highlight w:val="none"/>
              </w:rPr>
            </w:r>
            <w:r/>
          </w:p>
        </w:tc>
        <w:tc>
          <w:tcPr>
            <w:tcW w:w="801" w:type="dxa"/>
            <w:vAlign w:val="center"/>
            <w:textDirection w:val="lrTb"/>
            <w:noWrap w:val="false"/>
          </w:tcPr>
          <w:p>
            <w:pPr>
              <w:pStyle w:val="929"/>
              <w:jc w:val="center"/>
              <w:spacing w:beforeAutospacing="0" w:afterAutospacing="0"/>
              <w:rPr>
                <w:highlight w:val="none"/>
              </w:rPr>
            </w:pPr>
            <w:r>
              <w:rPr>
                <w:highlight w:val="none"/>
              </w:rPr>
            </w:r>
            <w:r/>
          </w:p>
        </w:tc>
      </w:tr>
      <w:tr>
        <w:trPr>
          <w:tblCellSpacing w:w="0" w:type="dxa"/>
          <w:trHeight w:val="538"/>
        </w:trPr>
        <w:tc>
          <w:tcPr>
            <w:tcW w:w="742"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6654"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w:t>
            </w:r>
            <w:r/>
          </w:p>
        </w:tc>
        <w:tc>
          <w:tcPr>
            <w:tcW w:w="100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929"/>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929"/>
              <w:jc w:val="center"/>
              <w:spacing w:beforeAutospacing="0" w:afterAutospacing="0"/>
              <w:rPr>
                <w:highlight w:val="none"/>
              </w:rPr>
            </w:pPr>
            <w:r>
              <w:rPr>
                <w:highlight w:val="none"/>
              </w:rPr>
              <w:t xml:space="preserve"> </w:t>
            </w:r>
            <w:r/>
          </w:p>
        </w:tc>
      </w:tr>
    </w:tbl>
    <w:p>
      <w:pPr>
        <w:pStyle w:val="929"/>
        <w:jc w:val="both"/>
        <w:spacing w:beforeAutospacing="0" w:afterAutospacing="0"/>
        <w:rPr>
          <w:highlight w:val="none"/>
        </w:rPr>
      </w:pPr>
      <w:r>
        <w:rPr>
          <w:rFonts w:hint="eastAsia" w:ascii="宋体" w:hAnsi="宋体" w:cs="宋体"/>
          <w:highlight w:val="none"/>
        </w:rPr>
        <w:t xml:space="preserve">注： 行数不够，可自行添加。</w:t>
      </w:r>
      <w:r/>
    </w:p>
    <w:p>
      <w:pPr>
        <w:pStyle w:val="929"/>
        <w:jc w:val="both"/>
        <w:spacing w:beforeAutospacing="0" w:afterAutospacing="0" w:line="480" w:lineRule="auto"/>
        <w:rPr>
          <w:highlight w:val="none"/>
        </w:rPr>
      </w:pPr>
      <w:r>
        <w:rPr>
          <w:highlight w:val="none"/>
        </w:rPr>
        <w:t xml:space="preserve"> </w:t>
      </w:r>
      <w:r/>
    </w:p>
    <w:p>
      <w:pPr>
        <w:pStyle w:val="929"/>
        <w:jc w:val="both"/>
        <w:spacing w:beforeAutospacing="0" w:afterAutospacing="0" w:line="480" w:lineRule="auto"/>
        <w:rPr>
          <w:highlight w:val="none"/>
        </w:rPr>
      </w:pPr>
      <w:r>
        <w:rPr>
          <w:highlight w:val="none"/>
        </w:rPr>
        <w:t xml:space="preserve"> </w:t>
      </w:r>
      <w:r/>
    </w:p>
    <w:p>
      <w:pPr>
        <w:pStyle w:val="929"/>
        <w:jc w:val="center"/>
        <w:spacing w:beforeAutospacing="0" w:afterAutospacing="0"/>
        <w:rPr>
          <w:highlight w:val="none"/>
        </w:rPr>
      </w:pPr>
      <w:r/>
      <w:bookmarkStart w:id="200" w:name="_Toc462564146"/>
      <w:r/>
      <w:bookmarkStart w:id="201" w:name="_Hlt26955066"/>
      <w:r/>
      <w:bookmarkStart w:id="202" w:name="_格式2__法定代表人授权书"/>
      <w:r/>
      <w:bookmarkStart w:id="203" w:name="_Hlt26609389"/>
      <w:r/>
      <w:bookmarkStart w:id="204" w:name="_Hlt26671374"/>
      <w:r>
        <w:rPr>
          <w:highlight w:val="none"/>
        </w:rPr>
        <w:t xml:space="preserve"> </w:t>
      </w:r>
      <w:r/>
    </w:p>
    <w:p>
      <w:pPr>
        <w:pStyle w:val="929"/>
        <w:jc w:val="center"/>
        <w:spacing w:beforeAutospacing="0" w:afterAutospacing="0"/>
        <w:rPr>
          <w:highlight w:val="none"/>
        </w:rPr>
      </w:pPr>
      <w:r>
        <w:rPr>
          <w:highlight w:val="none"/>
        </w:rPr>
      </w:r>
      <w:r/>
    </w:p>
    <w:p>
      <w:pPr>
        <w:pStyle w:val="929"/>
        <w:jc w:val="both"/>
        <w:spacing w:beforeAutospacing="0" w:afterAutospacing="0"/>
        <w:rPr>
          <w:highlight w:val="none"/>
        </w:rPr>
      </w:pPr>
      <w:r>
        <w:rPr>
          <w:highlight w:val="none"/>
        </w:rPr>
        <w:t xml:space="preserve">   </w:t>
      </w:r>
      <w:r/>
    </w:p>
    <w:p>
      <w:pPr>
        <w:pStyle w:val="929"/>
        <w:jc w:val="center"/>
        <w:spacing w:beforeAutospacing="0" w:afterAutospacing="0"/>
        <w:rPr>
          <w:highlight w:val="none"/>
        </w:rPr>
      </w:pPr>
      <w:r>
        <w:rPr>
          <w:rFonts w:hint="eastAsia" w:ascii="黑体" w:hAnsi="宋体" w:eastAsia="黑体" w:cs="黑体"/>
          <w:b/>
          <w:i/>
          <w:sz w:val="32"/>
          <w:szCs w:val="32"/>
          <w:highlight w:val="none"/>
          <w:u w:val="single"/>
        </w:rPr>
        <w:t xml:space="preserve">十五、开标一览表</w:t>
      </w:r>
      <w:r/>
    </w:p>
    <w:p>
      <w:pPr>
        <w:pStyle w:val="929"/>
        <w:ind w:firstLine="480"/>
        <w:jc w:val="both"/>
        <w:spacing w:beforeAutospacing="0" w:afterAutospacing="0"/>
        <w:rPr>
          <w:highlight w:val="none"/>
        </w:rPr>
      </w:pPr>
      <w:r>
        <w:rPr>
          <w:rFonts w:hint="eastAsia" w:ascii="宋体" w:hAnsi="宋体" w:cs="宋体"/>
          <w:highlight w:val="none"/>
        </w:rPr>
        <w:t xml:space="preserve">投标人全称（加盖CA电子签章）：</w:t>
      </w:r>
      <w:r/>
    </w:p>
    <w:p>
      <w:pPr>
        <w:pStyle w:val="929"/>
        <w:ind w:firstLine="480"/>
        <w:jc w:val="both"/>
        <w:spacing w:beforeAutospacing="0" w:afterAutospacing="0"/>
        <w:rPr>
          <w:highlight w:val="none"/>
        </w:rPr>
      </w:pPr>
      <w:r>
        <w:rPr>
          <w:rFonts w:hint="eastAsia" w:ascii="宋体" w:hAnsi="宋体" w:cs="宋体"/>
          <w:highlight w:val="none"/>
        </w:rPr>
        <w:t xml:space="preserve">项目名称：</w:t>
      </w:r>
      <w:r/>
    </w:p>
    <w:p>
      <w:pPr>
        <w:pStyle w:val="929"/>
        <w:ind w:firstLine="480"/>
        <w:jc w:val="both"/>
        <w:spacing w:beforeAutospacing="0" w:afterAutospacing="0"/>
        <w:rPr>
          <w:rFonts w:hint="eastAsia" w:ascii="宋体" w:hAnsi="宋体" w:cs="宋体"/>
          <w:highlight w:val="none"/>
        </w:rPr>
      </w:pPr>
      <w:r>
        <w:rPr>
          <w:rFonts w:hint="eastAsia" w:ascii="宋体" w:hAnsi="宋体" w:cs="宋体"/>
          <w:highlight w:val="none"/>
        </w:rPr>
        <w:t xml:space="preserve">项目编号：</w:t>
      </w:r>
      <w:r/>
    </w:p>
    <w:tbl>
      <w:tblPr>
        <w:tblStyle w:val="742"/>
        <w:tblW w:w="8954" w:type="dxa"/>
        <w:tblCellSpacing w:w="0" w:type="dxa"/>
        <w:tblInd w:w="-541" w:type="dxa"/>
        <w:tblLayout w:type="fixed"/>
        <w:tblCellMar>
          <w:left w:w="108" w:type="dxa"/>
          <w:top w:w="0" w:type="dxa"/>
          <w:right w:w="108" w:type="dxa"/>
          <w:bottom w:w="0" w:type="dxa"/>
        </w:tblCellMar>
        <w:tblLook w:val="04A0" w:firstRow="1" w:lastRow="0" w:firstColumn="1" w:lastColumn="0" w:noHBand="0" w:noVBand="1"/>
      </w:tblPr>
      <w:tblGrid>
        <w:gridCol w:w="2890"/>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929"/>
              <w:jc w:val="center"/>
              <w:spacing w:beforeAutospacing="0" w:afterAutospacing="0"/>
              <w:rPr>
                <w:highlight w:val="none"/>
              </w:rPr>
            </w:pPr>
            <w:r>
              <w:rPr>
                <w:rFonts w:hint="eastAsia" w:ascii="宋体" w:hAnsi="宋体" w:cs="宋体"/>
                <w:highlight w:val="none"/>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929"/>
              <w:spacing w:beforeAutospacing="0" w:afterAutospacing="0" w:line="0" w:lineRule="atLeast"/>
              <w:rPr>
                <w:rFonts w:hint="eastAsia" w:ascii="宋体" w:hAnsi="宋体" w:cs="宋体"/>
                <w:highlight w:val="none"/>
              </w:rPr>
            </w:pPr>
            <w:r>
              <w:rPr>
                <w:rFonts w:hint="eastAsia" w:ascii="宋体" w:hAnsi="宋体" w:cs="宋体"/>
                <w:highlight w:val="none"/>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929"/>
              <w:spacing w:beforeAutospacing="0" w:afterAutospacing="0" w:line="0" w:lineRule="atLeast"/>
              <w:rPr>
                <w:highlight w:val="none"/>
              </w:rPr>
            </w:pPr>
            <w:r>
              <w:rPr>
                <w:rFonts w:hint="eastAsia" w:ascii="宋体" w:hAnsi="宋体" w:cs="宋体"/>
                <w:highlight w:val="none"/>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929"/>
              <w:jc w:val="center"/>
              <w:spacing w:beforeAutospacing="0" w:afterAutospacing="0" w:line="300" w:lineRule="auto"/>
              <w:rPr>
                <w:highlight w:val="none"/>
              </w:rPr>
            </w:pPr>
            <w:r>
              <w:rPr>
                <w:rFonts w:hint="eastAsia" w:ascii="宋体" w:hAnsi="宋体" w:cs="宋体"/>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9"/>
              <w:spacing w:beforeAutospacing="0" w:afterAutospacing="0" w:line="0" w:lineRule="atLeast"/>
              <w:rPr>
                <w:highlight w:val="none"/>
              </w:rPr>
            </w:pPr>
            <w:r>
              <w:rPr>
                <w:highlight w:val="none"/>
              </w:rPr>
              <w:t xml:space="preserve"> </w:t>
            </w:r>
            <w:r/>
          </w:p>
        </w:tc>
      </w:tr>
    </w:tbl>
    <w:p>
      <w:pPr>
        <w:pStyle w:val="929"/>
        <w:jc w:val="both"/>
        <w:spacing w:beforeAutospacing="0" w:afterAutospacing="0"/>
        <w:rPr>
          <w:highlight w:val="none"/>
        </w:rPr>
      </w:pPr>
      <w:r>
        <w:rPr>
          <w:highlight w:val="none"/>
        </w:rPr>
        <w:t xml:space="preserve"> </w:t>
      </w:r>
      <w:r/>
    </w:p>
    <w:p>
      <w:pPr>
        <w:pStyle w:val="929"/>
        <w:ind w:firstLine="480"/>
        <w:jc w:val="both"/>
        <w:spacing w:beforeAutospacing="0" w:afterAutospacing="0"/>
        <w:rPr>
          <w:highlight w:val="none"/>
        </w:rPr>
      </w:pPr>
      <w:r>
        <w:rPr>
          <w:rFonts w:hint="eastAsia" w:ascii="宋体" w:hAnsi="宋体" w:cs="宋体"/>
          <w:highlight w:val="none"/>
        </w:rPr>
        <w:t xml:space="preserve">                                        日期：  </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pStyle w:val="929"/>
        <w:jc w:val="both"/>
        <w:spacing w:beforeAutospacing="0" w:afterAutospacing="0"/>
        <w:rPr>
          <w:highlight w:val="none"/>
        </w:rPr>
      </w:pPr>
      <w:r>
        <w:rPr>
          <w:highlight w:val="none"/>
        </w:rPr>
        <w:t xml:space="preserve"> </w:t>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0"/>
        <w:jc w:val="left"/>
        <w:spacing w:line="499" w:lineRule="atLeast"/>
        <w:widowControl/>
        <w:rPr>
          <w:rFonts w:hint="eastAsia" w:ascii="黑体" w:hAnsi="宋体" w:eastAsia="黑体" w:cs="黑体"/>
          <w:b/>
          <w:iCs/>
          <w:sz w:val="32"/>
          <w:szCs w:val="32"/>
          <w:highlight w:val="none"/>
        </w:rPr>
      </w:pPr>
      <w:r>
        <w:rPr>
          <w:rFonts w:hint="eastAsia" w:ascii="黑体" w:hAnsi="宋体" w:eastAsia="黑体" w:cs="黑体"/>
          <w:b/>
          <w:iCs/>
          <w:sz w:val="32"/>
          <w:szCs w:val="32"/>
          <w:highlight w:val="none"/>
        </w:rPr>
        <w:t xml:space="preserve">十六、盐城市政府采购事前信用承诺书</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法定代表人签名：</w:t>
      </w:r>
      <w:r/>
    </w:p>
    <w:p>
      <w:pPr>
        <w:jc w:val="center"/>
        <w:spacing w:line="499" w:lineRule="atLeast"/>
        <w:widowControl/>
        <w:rPr>
          <w:rFonts w:hint="eastAsia" w:ascii="宋体" w:hAnsi="宋体" w:cs="宋体"/>
          <w:sz w:val="24"/>
          <w:highlight w:val="none"/>
        </w:rPr>
      </w:pPr>
      <w:r>
        <w:rPr>
          <w:rFonts w:hint="eastAsia" w:ascii="宋体" w:hAnsi="宋体" w:cs="宋体"/>
          <w:sz w:val="24"/>
          <w:highlight w:val="none"/>
        </w:rPr>
        <w:t xml:space="preserve">               单位名称（盖章）：</w:t>
      </w:r>
      <w:r/>
    </w:p>
    <w:p>
      <w:pPr>
        <w:jc w:val="center"/>
        <w:spacing w:line="499" w:lineRule="atLeast"/>
        <w:widowControl/>
        <w:rPr>
          <w:rFonts w:hint="eastAsia" w:ascii="宋体" w:hAnsi="宋体" w:cs="宋体"/>
          <w:sz w:val="24"/>
          <w:highlight w:val="none"/>
        </w:rPr>
      </w:pPr>
      <w:r>
        <w:rPr>
          <w:rFonts w:hint="eastAsia" w:ascii="宋体" w:hAnsi="宋体" w:cs="宋体"/>
          <w:sz w:val="24"/>
          <w:highlight w:val="none"/>
        </w:rPr>
        <w:t xml:space="preserve">            年  月  日</w:t>
      </w:r>
      <w:r/>
    </w:p>
    <w:p>
      <w:pPr>
        <w:pStyle w:val="929"/>
        <w:jc w:val="center"/>
        <w:spacing w:beforeAutospacing="0" w:afterAutospacing="0"/>
        <w:rPr>
          <w:highlight w:val="none"/>
        </w:rPr>
      </w:pPr>
      <w:r>
        <w:rPr>
          <w:highlight w:val="none"/>
        </w:r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9"/>
      <w:r/>
      <w:bookmarkEnd w:id="177"/>
      <w:r/>
      <w:bookmarkEnd w:id="181"/>
      <w:r/>
      <w:bookmarkEnd w:id="182"/>
      <w:r/>
      <w:bookmarkEnd w:id="183"/>
      <w:r/>
      <w:bookmarkEnd w:id="187"/>
      <w:r/>
      <w:bookmarkEnd w:id="188"/>
      <w:r/>
      <w:bookmarkEnd w:id="189"/>
      <w:r/>
      <w:bookmarkEnd w:id="190"/>
      <w:r/>
      <w:bookmarkEnd w:id="191"/>
      <w:r/>
      <w:bookmarkEnd w:id="200"/>
      <w:r/>
      <w:bookmarkEnd w:id="201"/>
      <w:r/>
      <w:bookmarkEnd w:id="202"/>
      <w:r/>
      <w:bookmarkEnd w:id="203"/>
      <w:r/>
      <w:bookmarkEnd w:id="204"/>
      <w:r/>
      <w:r/>
    </w:p>
    <w:p>
      <w:pPr>
        <w:pStyle w:val="929"/>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929"/>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9"/>
        <w:jc w:val="center"/>
        <w:spacing w:beforeAutospacing="0" w:afterAutospacing="0"/>
        <w:rPr>
          <w:rFonts w:hint="eastAsia" w:ascii="宋体" w:hAnsi="宋体" w:cs="宋体"/>
          <w:b/>
          <w:bCs/>
          <w:sz w:val="32"/>
          <w:szCs w:val="32"/>
          <w:highlight w:val="none"/>
        </w:rPr>
      </w:pPr>
      <w:r>
        <w:rPr>
          <w:rFonts w:hint="eastAsia" w:ascii="宋体" w:hAnsi="宋体" w:cs="宋体"/>
          <w:b/>
          <w:sz w:val="32"/>
          <w:szCs w:val="32"/>
          <w:highlight w:val="none"/>
        </w:rPr>
        <w:t xml:space="preserve">质疑函范本</w:t>
      </w:r>
      <w:r/>
    </w:p>
    <w:p>
      <w:pPr>
        <w:pStyle w:val="929"/>
        <w:jc w:val="both"/>
        <w:spacing w:before="290" w:beforeAutospacing="0" w:afterAutospacing="0" w:line="360" w:lineRule="auto"/>
        <w:rPr>
          <w:rFonts w:hint="eastAsia" w:ascii="宋体" w:hAnsi="宋体" w:cs="宋体"/>
          <w:highlight w:val="none"/>
        </w:rPr>
      </w:pPr>
      <w:r>
        <w:rPr>
          <w:rFonts w:hint="eastAsia" w:ascii="宋体" w:hAnsi="宋体" w:cs="宋体"/>
          <w:highlight w:val="none"/>
        </w:rPr>
        <w:t xml:space="preserve">一、质疑供应商基本信息</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质疑供应商：</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联系人：</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授权代表：</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地址： </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二、质疑项目基本情况</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质疑项目的名称：</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质疑项目的编号：</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包号：</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采购文件获取日期：</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三、质疑事项具体内容</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质疑事项1：</w:t>
      </w:r>
      <w:r>
        <w:rPr>
          <w:rFonts w:hint="eastAsia" w:ascii="宋体" w:hAnsi="宋体" w:cs="宋体"/>
          <w:highlight w:val="none"/>
          <w:u w:val="single"/>
        </w:rPr>
        <w:t xml:space="preserve">                             </w:t>
      </w:r>
      <w:r/>
    </w:p>
    <w:p>
      <w:pPr>
        <w:pStyle w:val="929"/>
        <w:spacing w:beforeAutospacing="0" w:afterAutospacing="0" w:line="360" w:lineRule="auto"/>
        <w:rPr>
          <w:rFonts w:hint="eastAsia" w:ascii="宋体" w:hAnsi="宋体" w:cs="宋体"/>
          <w:highlight w:val="none"/>
        </w:rPr>
      </w:pPr>
      <w:r>
        <w:rPr>
          <w:rFonts w:hint="eastAsia" w:ascii="宋体" w:hAnsi="宋体" w:cs="宋体"/>
          <w:highlight w:val="none"/>
        </w:rPr>
        <w:t xml:space="preserve">事实依据：</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法律依据：</w:t>
      </w:r>
      <w:r>
        <w:rPr>
          <w:rFonts w:hint="eastAsia" w:ascii="宋体" w:hAnsi="宋体" w:cs="宋体"/>
          <w:highlight w:val="none"/>
          <w:u w:val="single"/>
        </w:rPr>
        <w:t xml:space="preserve">                                                    </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质疑事项2</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四、与质疑事项相关的质疑请求</w:t>
      </w:r>
      <w:r/>
    </w:p>
    <w:p>
      <w:pPr>
        <w:pStyle w:val="92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请求：</w:t>
      </w:r>
      <w:r>
        <w:rPr>
          <w:rFonts w:hint="eastAsia" w:ascii="宋体" w:hAnsi="宋体" w:cs="宋体"/>
          <w:highlight w:val="none"/>
          <w:u w:val="single"/>
        </w:rPr>
        <w:t xml:space="preserve">                                                          </w:t>
      </w:r>
      <w:r/>
    </w:p>
    <w:p>
      <w:pPr>
        <w:pStyle w:val="929"/>
        <w:jc w:val="both"/>
        <w:spacing w:beforeAutospacing="0" w:afterAutospacing="0"/>
        <w:rPr>
          <w:rFonts w:hint="eastAsia" w:ascii="宋体" w:hAnsi="宋体" w:cs="宋体"/>
          <w:highlight w:val="none"/>
        </w:rPr>
      </w:pPr>
      <w:r>
        <w:rPr>
          <w:rFonts w:hint="eastAsia" w:ascii="宋体" w:hAnsi="宋体" w:cs="宋体"/>
          <w:highlight w:val="none"/>
        </w:rPr>
        <w:t xml:space="preserve">签字(签章)：                 公章：               日期：    </w:t>
      </w:r>
      <w:r/>
    </w:p>
    <w:p>
      <w:pPr>
        <w:pStyle w:val="929"/>
        <w:jc w:val="both"/>
        <w:spacing w:beforeAutospacing="0" w:afterAutospacing="0" w:line="0" w:lineRule="atLeast"/>
        <w:rPr>
          <w:rFonts w:hint="eastAsia" w:ascii="宋体" w:hAnsi="宋体" w:cs="宋体"/>
          <w:highlight w:val="none"/>
        </w:rPr>
      </w:pPr>
      <w:r>
        <w:rPr>
          <w:rFonts w:hint="eastAsia" w:ascii="宋体" w:hAnsi="宋体" w:cs="宋体"/>
          <w:b/>
          <w:highlight w:val="none"/>
        </w:rPr>
        <w:t xml:space="preserve">质疑函制作说明：</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1.供应商提出质疑时，应提交质疑函和必要的证明材料。</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3.质疑供应商若对项目的某一分包进行质疑，质疑函中应列明具体分包号。</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4.质疑函的质疑事项应具体、明确，并有必要的事实依据和法律依据。</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5.质疑函的质疑请求应与质疑事项相关。</w:t>
      </w:r>
      <w:r/>
    </w:p>
    <w:p>
      <w:pPr>
        <w:pStyle w:val="929"/>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961" w:hanging="720"/>
      </w:pPr>
      <w:rPr>
        <w:rFonts w:hint="default"/>
      </w:rPr>
    </w:lvl>
    <w:lvl w:ilvl="1">
      <w:start w:val="1"/>
      <w:numFmt w:val="lowerLetter"/>
      <w:isLgl w:val="false"/>
      <w:suff w:val="tab"/>
      <w:lvlText w:val="%2)"/>
      <w:lvlJc w:val="left"/>
      <w:pPr>
        <w:ind w:left="1121" w:hanging="440"/>
      </w:pPr>
    </w:lvl>
    <w:lvl w:ilvl="2">
      <w:start w:val="1"/>
      <w:numFmt w:val="lowerRoman"/>
      <w:isLgl w:val="false"/>
      <w:suff w:val="tab"/>
      <w:lvlText w:val="%3."/>
      <w:lvlJc w:val="right"/>
      <w:pPr>
        <w:ind w:left="1561" w:hanging="440"/>
      </w:pPr>
    </w:lvl>
    <w:lvl w:ilvl="3">
      <w:start w:val="1"/>
      <w:numFmt w:val="decimal"/>
      <w:isLgl w:val="false"/>
      <w:suff w:val="tab"/>
      <w:lvlText w:val="%4."/>
      <w:lvlJc w:val="left"/>
      <w:pPr>
        <w:ind w:left="2001" w:hanging="440"/>
      </w:pPr>
    </w:lvl>
    <w:lvl w:ilvl="4">
      <w:start w:val="1"/>
      <w:numFmt w:val="lowerLetter"/>
      <w:isLgl w:val="false"/>
      <w:suff w:val="tab"/>
      <w:lvlText w:val="%5)"/>
      <w:lvlJc w:val="left"/>
      <w:pPr>
        <w:ind w:left="2441" w:hanging="440"/>
      </w:pPr>
    </w:lvl>
    <w:lvl w:ilvl="5">
      <w:start w:val="1"/>
      <w:numFmt w:val="lowerRoman"/>
      <w:isLgl w:val="false"/>
      <w:suff w:val="tab"/>
      <w:lvlText w:val="%6."/>
      <w:lvlJc w:val="right"/>
      <w:pPr>
        <w:ind w:left="2881" w:hanging="440"/>
      </w:pPr>
    </w:lvl>
    <w:lvl w:ilvl="6">
      <w:start w:val="1"/>
      <w:numFmt w:val="decimal"/>
      <w:isLgl w:val="false"/>
      <w:suff w:val="tab"/>
      <w:lvlText w:val="%7."/>
      <w:lvlJc w:val="left"/>
      <w:pPr>
        <w:ind w:left="3321" w:hanging="440"/>
      </w:pPr>
    </w:lvl>
    <w:lvl w:ilvl="7">
      <w:start w:val="1"/>
      <w:numFmt w:val="lowerLetter"/>
      <w:isLgl w:val="false"/>
      <w:suff w:val="tab"/>
      <w:lvlText w:val="%8)"/>
      <w:lvlJc w:val="left"/>
      <w:pPr>
        <w:ind w:left="3761" w:hanging="440"/>
      </w:pPr>
    </w:lvl>
    <w:lvl w:ilvl="8">
      <w:start w:val="1"/>
      <w:numFmt w:val="lowerRoman"/>
      <w:isLgl w:val="false"/>
      <w:suff w:val="tab"/>
      <w:lvlText w:val="%9."/>
      <w:lvlJc w:val="right"/>
      <w:pPr>
        <w:ind w:left="4201" w:hanging="440"/>
      </w:p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2"/>
    </w:lvlOverride>
  </w:num>
  <w:num w:numId="3">
    <w:abstractNumId w:val="1"/>
    <w:lvlOverride w:ilvl="0">
      <w:startOverride w:val="6"/>
    </w:lvlOverride>
  </w:num>
  <w:num w:numId="4">
    <w:abstractNumId w:val="5"/>
    <w:lvlOverride w:ilvl="0">
      <w:startOverride w:val="16"/>
    </w:lvlOverride>
  </w:num>
  <w:num w:numId="5">
    <w:abstractNumId w:val="8"/>
    <w:lvlOverride w:ilvl="0">
      <w:startOverride w:val="23"/>
    </w:lvlOverride>
  </w:num>
  <w:num w:numId="6">
    <w:abstractNumId w:val="0"/>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41"/>
    <w:link w:val="732"/>
    <w:uiPriority w:val="9"/>
    <w:rPr>
      <w:rFonts w:ascii="Arial" w:hAnsi="Arial" w:eastAsia="Arial" w:cs="Arial"/>
      <w:sz w:val="40"/>
      <w:szCs w:val="40"/>
    </w:rPr>
  </w:style>
  <w:style w:type="character" w:styleId="695">
    <w:name w:val="Heading 2 Char"/>
    <w:basedOn w:val="741"/>
    <w:link w:val="733"/>
    <w:uiPriority w:val="9"/>
    <w:rPr>
      <w:rFonts w:ascii="Arial" w:hAnsi="Arial" w:eastAsia="Arial" w:cs="Arial"/>
      <w:sz w:val="34"/>
    </w:rPr>
  </w:style>
  <w:style w:type="character" w:styleId="696">
    <w:name w:val="Heading 3 Char"/>
    <w:basedOn w:val="741"/>
    <w:link w:val="734"/>
    <w:uiPriority w:val="9"/>
    <w:rPr>
      <w:rFonts w:ascii="Arial" w:hAnsi="Arial" w:eastAsia="Arial" w:cs="Arial"/>
      <w:sz w:val="30"/>
      <w:szCs w:val="30"/>
    </w:rPr>
  </w:style>
  <w:style w:type="character" w:styleId="697">
    <w:name w:val="Heading 4 Char"/>
    <w:basedOn w:val="741"/>
    <w:link w:val="735"/>
    <w:uiPriority w:val="9"/>
    <w:rPr>
      <w:rFonts w:ascii="Arial" w:hAnsi="Arial" w:eastAsia="Arial" w:cs="Arial"/>
      <w:b/>
      <w:bCs/>
      <w:sz w:val="26"/>
      <w:szCs w:val="26"/>
    </w:rPr>
  </w:style>
  <w:style w:type="character" w:styleId="698">
    <w:name w:val="Heading 5 Char"/>
    <w:basedOn w:val="741"/>
    <w:link w:val="736"/>
    <w:uiPriority w:val="9"/>
    <w:rPr>
      <w:rFonts w:ascii="Arial" w:hAnsi="Arial" w:eastAsia="Arial" w:cs="Arial"/>
      <w:b/>
      <w:bCs/>
      <w:sz w:val="24"/>
      <w:szCs w:val="24"/>
    </w:rPr>
  </w:style>
  <w:style w:type="character" w:styleId="699">
    <w:name w:val="Heading 6 Char"/>
    <w:basedOn w:val="741"/>
    <w:link w:val="737"/>
    <w:uiPriority w:val="9"/>
    <w:rPr>
      <w:rFonts w:ascii="Arial" w:hAnsi="Arial" w:eastAsia="Arial" w:cs="Arial"/>
      <w:b/>
      <w:bCs/>
      <w:sz w:val="22"/>
      <w:szCs w:val="22"/>
    </w:rPr>
  </w:style>
  <w:style w:type="character" w:styleId="700">
    <w:name w:val="Heading 7 Char"/>
    <w:basedOn w:val="741"/>
    <w:link w:val="738"/>
    <w:uiPriority w:val="9"/>
    <w:rPr>
      <w:rFonts w:ascii="Arial" w:hAnsi="Arial" w:eastAsia="Arial" w:cs="Arial"/>
      <w:b/>
      <w:bCs/>
      <w:i/>
      <w:iCs/>
      <w:sz w:val="22"/>
      <w:szCs w:val="22"/>
    </w:rPr>
  </w:style>
  <w:style w:type="character" w:styleId="701">
    <w:name w:val="Heading 8 Char"/>
    <w:basedOn w:val="741"/>
    <w:link w:val="739"/>
    <w:uiPriority w:val="9"/>
    <w:rPr>
      <w:rFonts w:ascii="Arial" w:hAnsi="Arial" w:eastAsia="Arial" w:cs="Arial"/>
      <w:i/>
      <w:iCs/>
      <w:sz w:val="22"/>
      <w:szCs w:val="22"/>
    </w:rPr>
  </w:style>
  <w:style w:type="character" w:styleId="702">
    <w:name w:val="Heading 9 Char"/>
    <w:basedOn w:val="741"/>
    <w:link w:val="740"/>
    <w:uiPriority w:val="9"/>
    <w:rPr>
      <w:rFonts w:ascii="Arial" w:hAnsi="Arial" w:eastAsia="Arial" w:cs="Arial"/>
      <w:i/>
      <w:iCs/>
      <w:sz w:val="21"/>
      <w:szCs w:val="21"/>
    </w:rPr>
  </w:style>
  <w:style w:type="character" w:styleId="703">
    <w:name w:val="Title Char"/>
    <w:basedOn w:val="741"/>
    <w:link w:val="760"/>
    <w:uiPriority w:val="10"/>
    <w:rPr>
      <w:sz w:val="48"/>
      <w:szCs w:val="48"/>
    </w:rPr>
  </w:style>
  <w:style w:type="character" w:styleId="704">
    <w:name w:val="Subtitle Char"/>
    <w:basedOn w:val="741"/>
    <w:link w:val="753"/>
    <w:uiPriority w:val="11"/>
    <w:rPr>
      <w:sz w:val="24"/>
      <w:szCs w:val="24"/>
    </w:rPr>
  </w:style>
  <w:style w:type="character" w:styleId="705">
    <w:name w:val="Quote Char"/>
    <w:link w:val="782"/>
    <w:uiPriority w:val="29"/>
    <w:rPr>
      <w:i/>
    </w:rPr>
  </w:style>
  <w:style w:type="character" w:styleId="706">
    <w:name w:val="Intense Quote Char"/>
    <w:link w:val="784"/>
    <w:uiPriority w:val="30"/>
    <w:rPr>
      <w:i/>
    </w:rPr>
  </w:style>
  <w:style w:type="character" w:styleId="707">
    <w:name w:val="Header Char"/>
    <w:basedOn w:val="741"/>
    <w:link w:val="750"/>
    <w:uiPriority w:val="99"/>
  </w:style>
  <w:style w:type="character" w:styleId="708">
    <w:name w:val="Caption Char"/>
    <w:basedOn w:val="744"/>
    <w:link w:val="749"/>
    <w:uiPriority w:val="99"/>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54"/>
    <w:uiPriority w:val="99"/>
    <w:rPr>
      <w:sz w:val="18"/>
    </w:rPr>
  </w:style>
  <w:style w:type="character" w:styleId="729">
    <w:name w:val="Endnote Text Char"/>
    <w:link w:val="748"/>
    <w:uiPriority w:val="99"/>
    <w:rPr>
      <w:sz w:val="20"/>
    </w:rPr>
  </w:style>
  <w:style w:type="paragraph" w:styleId="730">
    <w:name w:val="TOC Heading"/>
    <w:uiPriority w:val="39"/>
    <w:unhideWhenUsed/>
  </w:style>
  <w:style w:type="paragraph" w:styleId="73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32">
    <w:name w:val="Heading 1"/>
    <w:basedOn w:val="731"/>
    <w:next w:val="731"/>
    <w:link w:val="769"/>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0"/>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1"/>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2"/>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3"/>
    <w:uiPriority w:val="9"/>
    <w:unhideWhenUsed/>
    <w:qFormat/>
    <w:pPr>
      <w:keepLines/>
      <w:keepNext/>
      <w:spacing w:before="320" w:after="200"/>
      <w:outlineLvl w:val="4"/>
    </w:pPr>
    <w:rPr>
      <w:rFonts w:ascii="Arial" w:hAnsi="Arial" w:eastAsia="Arial" w:cs="Arial"/>
      <w:b/>
      <w:bCs/>
      <w:sz w:val="24"/>
    </w:rPr>
  </w:style>
  <w:style w:type="paragraph" w:styleId="737">
    <w:name w:val="Heading 6"/>
    <w:basedOn w:val="731"/>
    <w:next w:val="731"/>
    <w:link w:val="774"/>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6"/>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77"/>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spacing w:after="57"/>
    </w:pPr>
  </w:style>
  <w:style w:type="paragraph" w:styleId="744">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toc 5"/>
    <w:basedOn w:val="731"/>
    <w:next w:val="731"/>
    <w:uiPriority w:val="39"/>
    <w:unhideWhenUsed/>
    <w:qFormat/>
    <w:pPr>
      <w:ind w:left="1134"/>
      <w:spacing w:after="57"/>
    </w:pPr>
  </w:style>
  <w:style w:type="paragraph" w:styleId="746">
    <w:name w:val="toc 3"/>
    <w:basedOn w:val="731"/>
    <w:next w:val="731"/>
    <w:uiPriority w:val="39"/>
    <w:unhideWhenUsed/>
    <w:qFormat/>
    <w:pPr>
      <w:ind w:left="567"/>
      <w:spacing w:after="57"/>
    </w:pPr>
  </w:style>
  <w:style w:type="paragraph" w:styleId="747">
    <w:name w:val="toc 8"/>
    <w:basedOn w:val="731"/>
    <w:next w:val="731"/>
    <w:uiPriority w:val="39"/>
    <w:unhideWhenUsed/>
    <w:qFormat/>
    <w:pPr>
      <w:ind w:left="1984"/>
      <w:spacing w:after="57"/>
    </w:pPr>
  </w:style>
  <w:style w:type="paragraph" w:styleId="748">
    <w:name w:val="endnote text"/>
    <w:basedOn w:val="731"/>
    <w:link w:val="915"/>
    <w:uiPriority w:val="99"/>
    <w:semiHidden/>
    <w:unhideWhenUsed/>
    <w:qFormat/>
    <w:rPr>
      <w:sz w:val="20"/>
    </w:rPr>
  </w:style>
  <w:style w:type="paragraph" w:styleId="749">
    <w:name w:val="Footer"/>
    <w:basedOn w:val="731"/>
    <w:link w:val="788"/>
    <w:uiPriority w:val="99"/>
    <w:unhideWhenUsed/>
    <w:qFormat/>
    <w:pPr>
      <w:tabs>
        <w:tab w:val="center" w:pos="7143" w:leader="none"/>
        <w:tab w:val="right" w:pos="14287" w:leader="none"/>
      </w:tabs>
    </w:pPr>
  </w:style>
  <w:style w:type="paragraph" w:styleId="750">
    <w:name w:val="Header"/>
    <w:basedOn w:val="731"/>
    <w:link w:val="786"/>
    <w:uiPriority w:val="99"/>
    <w:unhideWhenUsed/>
    <w:qFormat/>
    <w:pPr>
      <w:tabs>
        <w:tab w:val="center" w:pos="7143" w:leader="none"/>
        <w:tab w:val="right" w:pos="14287" w:leader="none"/>
      </w:tabs>
    </w:pPr>
  </w:style>
  <w:style w:type="paragraph" w:styleId="751">
    <w:name w:val="toc 1"/>
    <w:basedOn w:val="731"/>
    <w:next w:val="731"/>
    <w:uiPriority w:val="39"/>
    <w:unhideWhenUsed/>
    <w:qFormat/>
    <w:pPr>
      <w:spacing w:after="57"/>
    </w:pPr>
  </w:style>
  <w:style w:type="paragraph" w:styleId="752">
    <w:name w:val="toc 4"/>
    <w:basedOn w:val="731"/>
    <w:next w:val="731"/>
    <w:uiPriority w:val="39"/>
    <w:unhideWhenUsed/>
    <w:qFormat/>
    <w:pPr>
      <w:ind w:left="850"/>
      <w:spacing w:after="57"/>
    </w:pPr>
  </w:style>
  <w:style w:type="paragraph" w:styleId="753">
    <w:name w:val="Subtitle"/>
    <w:basedOn w:val="731"/>
    <w:next w:val="731"/>
    <w:link w:val="781"/>
    <w:uiPriority w:val="11"/>
    <w:qFormat/>
    <w:pPr>
      <w:spacing w:before="200" w:after="200"/>
    </w:pPr>
    <w:rPr>
      <w:sz w:val="24"/>
    </w:rPr>
  </w:style>
  <w:style w:type="paragraph" w:styleId="754">
    <w:name w:val="footnote text"/>
    <w:basedOn w:val="731"/>
    <w:link w:val="914"/>
    <w:uiPriority w:val="99"/>
    <w:semiHidden/>
    <w:unhideWhenUsed/>
    <w:qFormat/>
    <w:pPr>
      <w:spacing w:after="40"/>
    </w:pPr>
    <w:rPr>
      <w:sz w:val="18"/>
    </w:rPr>
  </w:style>
  <w:style w:type="paragraph" w:styleId="755">
    <w:name w:val="toc 6"/>
    <w:basedOn w:val="731"/>
    <w:next w:val="731"/>
    <w:uiPriority w:val="39"/>
    <w:unhideWhenUsed/>
    <w:qFormat/>
    <w:pPr>
      <w:ind w:left="1417"/>
      <w:spacing w:after="57"/>
    </w:pPr>
  </w:style>
  <w:style w:type="paragraph" w:styleId="756">
    <w:name w:val="table of figures"/>
    <w:basedOn w:val="731"/>
    <w:next w:val="731"/>
    <w:uiPriority w:val="99"/>
    <w:unhideWhenUsed/>
    <w:qFormat/>
  </w:style>
  <w:style w:type="paragraph" w:styleId="757">
    <w:name w:val="toc 2"/>
    <w:basedOn w:val="731"/>
    <w:next w:val="731"/>
    <w:uiPriority w:val="39"/>
    <w:unhideWhenUsed/>
    <w:qFormat/>
    <w:pPr>
      <w:ind w:left="283"/>
      <w:spacing w:after="57"/>
    </w:pPr>
  </w:style>
  <w:style w:type="paragraph" w:styleId="758">
    <w:name w:val="toc 9"/>
    <w:basedOn w:val="731"/>
    <w:next w:val="731"/>
    <w:uiPriority w:val="39"/>
    <w:unhideWhenUsed/>
    <w:qFormat/>
    <w:pPr>
      <w:ind w:left="2268"/>
      <w:spacing w:after="57"/>
    </w:pPr>
  </w:style>
  <w:style w:type="paragraph" w:styleId="759">
    <w:name w:val="Normal (Web)"/>
    <w:basedOn w:val="731"/>
    <w:uiPriority w:val="0"/>
    <w:qFormat/>
    <w:pPr>
      <w:jc w:val="left"/>
      <w:spacing w:beforeAutospacing="1" w:afterAutospacing="1"/>
    </w:pPr>
    <w:rPr>
      <w:sz w:val="24"/>
    </w:rPr>
  </w:style>
  <w:style w:type="paragraph" w:styleId="760">
    <w:name w:val="Title"/>
    <w:basedOn w:val="731"/>
    <w:next w:val="731"/>
    <w:link w:val="780"/>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41"/>
    <w:uiPriority w:val="22"/>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正文文本缩进11"/>
    <w:basedOn w:val="731"/>
    <w:next w:val="767"/>
    <w:uiPriority w:val="0"/>
    <w:unhideWhenUsed/>
    <w:qFormat/>
    <w:pPr>
      <w:ind w:left="420"/>
      <w:spacing w:after="120"/>
    </w:pPr>
  </w:style>
  <w:style w:type="paragraph" w:styleId="767" w:customStyle="1">
    <w:name w:val="正文首行缩进 21"/>
    <w:basedOn w:val="768"/>
    <w:next w:val="731"/>
    <w:uiPriority w:val="0"/>
    <w:qFormat/>
    <w:pPr>
      <w:ind w:firstLine="420"/>
    </w:pPr>
  </w:style>
  <w:style w:type="paragraph" w:styleId="768" w:customStyle="1">
    <w:name w:val="正文文本缩进1"/>
    <w:basedOn w:val="731"/>
    <w:uiPriority w:val="0"/>
    <w:qFormat/>
    <w:pPr>
      <w:ind w:left="420"/>
      <w:spacing w:after="120"/>
    </w:pPr>
  </w:style>
  <w:style w:type="character" w:styleId="769" w:customStyle="1">
    <w:name w:val="标题 1 字符"/>
    <w:link w:val="732"/>
    <w:uiPriority w:val="9"/>
    <w:qFormat/>
    <w:rPr>
      <w:rFonts w:ascii="Arial" w:hAnsi="Arial" w:eastAsia="Arial" w:cs="Arial"/>
      <w:sz w:val="40"/>
      <w:szCs w:val="40"/>
    </w:rPr>
  </w:style>
  <w:style w:type="character" w:styleId="770" w:customStyle="1">
    <w:name w:val="标题 2 字符"/>
    <w:link w:val="733"/>
    <w:uiPriority w:val="9"/>
    <w:qFormat/>
    <w:rPr>
      <w:rFonts w:ascii="Arial" w:hAnsi="Arial" w:eastAsia="Arial" w:cs="Arial"/>
      <w:sz w:val="34"/>
    </w:rPr>
  </w:style>
  <w:style w:type="character" w:styleId="771" w:customStyle="1">
    <w:name w:val="标题 3 字符"/>
    <w:link w:val="734"/>
    <w:uiPriority w:val="9"/>
    <w:qFormat/>
    <w:rPr>
      <w:rFonts w:ascii="Arial" w:hAnsi="Arial" w:eastAsia="Arial" w:cs="Arial"/>
      <w:sz w:val="30"/>
      <w:szCs w:val="30"/>
    </w:rPr>
  </w:style>
  <w:style w:type="character" w:styleId="772" w:customStyle="1">
    <w:name w:val="标题 4 字符"/>
    <w:link w:val="735"/>
    <w:uiPriority w:val="9"/>
    <w:qFormat/>
    <w:rPr>
      <w:rFonts w:ascii="Arial" w:hAnsi="Arial" w:eastAsia="Arial" w:cs="Arial"/>
      <w:b/>
      <w:bCs/>
      <w:sz w:val="26"/>
      <w:szCs w:val="26"/>
    </w:rPr>
  </w:style>
  <w:style w:type="character" w:styleId="773" w:customStyle="1">
    <w:name w:val="标题 5 字符"/>
    <w:link w:val="736"/>
    <w:uiPriority w:val="9"/>
    <w:qFormat/>
    <w:rPr>
      <w:rFonts w:ascii="Arial" w:hAnsi="Arial" w:eastAsia="Arial" w:cs="Arial"/>
      <w:b/>
      <w:bCs/>
      <w:sz w:val="24"/>
      <w:szCs w:val="24"/>
    </w:rPr>
  </w:style>
  <w:style w:type="character" w:styleId="774" w:customStyle="1">
    <w:name w:val="标题 6 字符"/>
    <w:link w:val="737"/>
    <w:uiPriority w:val="9"/>
    <w:qFormat/>
    <w:rPr>
      <w:rFonts w:ascii="Arial" w:hAnsi="Arial" w:eastAsia="Arial" w:cs="Arial"/>
      <w:b/>
      <w:bCs/>
      <w:sz w:val="22"/>
      <w:szCs w:val="22"/>
    </w:rPr>
  </w:style>
  <w:style w:type="character" w:styleId="775" w:customStyle="1">
    <w:name w:val="标题 7 字符"/>
    <w:link w:val="738"/>
    <w:uiPriority w:val="9"/>
    <w:qFormat/>
    <w:rPr>
      <w:rFonts w:ascii="Arial" w:hAnsi="Arial" w:eastAsia="Arial" w:cs="Arial"/>
      <w:b/>
      <w:bCs/>
      <w:i/>
      <w:iCs/>
      <w:sz w:val="22"/>
      <w:szCs w:val="22"/>
    </w:rPr>
  </w:style>
  <w:style w:type="character" w:styleId="776" w:customStyle="1">
    <w:name w:val="标题 8 字符"/>
    <w:link w:val="739"/>
    <w:uiPriority w:val="9"/>
    <w:qFormat/>
    <w:rPr>
      <w:rFonts w:ascii="Arial" w:hAnsi="Arial" w:eastAsia="Arial" w:cs="Arial"/>
      <w:i/>
      <w:iCs/>
      <w:sz w:val="22"/>
      <w:szCs w:val="22"/>
    </w:rPr>
  </w:style>
  <w:style w:type="character" w:styleId="777" w:customStyle="1">
    <w:name w:val="标题 9 字符"/>
    <w:link w:val="740"/>
    <w:uiPriority w:val="9"/>
    <w:qFormat/>
    <w:rPr>
      <w:rFonts w:ascii="Arial" w:hAnsi="Arial" w:eastAsia="Arial" w:cs="Arial"/>
      <w:i/>
      <w:iCs/>
      <w:sz w:val="21"/>
      <w:szCs w:val="21"/>
    </w:rPr>
  </w:style>
  <w:style w:type="paragraph" w:styleId="778">
    <w:name w:val="List Paragraph"/>
    <w:basedOn w:val="731"/>
    <w:uiPriority w:val="34"/>
    <w:qFormat/>
    <w:pPr>
      <w:contextualSpacing/>
      <w:ind w:left="720"/>
    </w:pPr>
  </w:style>
  <w:style w:type="paragraph" w:styleId="779">
    <w:name w:val="No Spacing"/>
    <w:uiPriority w:val="1"/>
    <w:qFormat/>
    <w:rPr>
      <w:rFonts w:ascii="Times New Roman" w:hAnsi="Times New Roman" w:eastAsia="宋体" w:cs="Times New Roman"/>
      <w:lang w:val="en-US" w:eastAsia="zh-CN" w:bidi="ar-SA"/>
    </w:rPr>
  </w:style>
  <w:style w:type="character" w:styleId="780" w:customStyle="1">
    <w:name w:val="标题 字符"/>
    <w:link w:val="760"/>
    <w:uiPriority w:val="10"/>
    <w:qFormat/>
    <w:rPr>
      <w:sz w:val="48"/>
      <w:szCs w:val="48"/>
    </w:rPr>
  </w:style>
  <w:style w:type="character" w:styleId="781" w:customStyle="1">
    <w:name w:val="副标题 字符"/>
    <w:link w:val="753"/>
    <w:uiPriority w:val="11"/>
    <w:qFormat/>
    <w:rPr>
      <w:sz w:val="24"/>
      <w:szCs w:val="24"/>
    </w:rPr>
  </w:style>
  <w:style w:type="paragraph" w:styleId="782">
    <w:name w:val="Quote"/>
    <w:basedOn w:val="731"/>
    <w:next w:val="731"/>
    <w:link w:val="783"/>
    <w:uiPriority w:val="29"/>
    <w:qFormat/>
    <w:pPr>
      <w:ind w:left="720" w:right="720"/>
    </w:pPr>
    <w:rPr>
      <w:i/>
    </w:rPr>
  </w:style>
  <w:style w:type="character" w:styleId="783" w:customStyle="1">
    <w:name w:val="引用 字符"/>
    <w:link w:val="782"/>
    <w:uiPriority w:val="29"/>
    <w:qFormat/>
    <w:rPr>
      <w:i/>
    </w:rPr>
  </w:style>
  <w:style w:type="paragraph" w:styleId="784">
    <w:name w:val="Intense Quote"/>
    <w:basedOn w:val="731"/>
    <w:next w:val="731"/>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qFormat/>
    <w:rPr>
      <w:i/>
    </w:rPr>
  </w:style>
  <w:style w:type="character" w:styleId="786" w:customStyle="1">
    <w:name w:val="页眉 字符"/>
    <w:link w:val="750"/>
    <w:uiPriority w:val="99"/>
    <w:qFormat/>
  </w:style>
  <w:style w:type="character" w:styleId="787" w:customStyle="1">
    <w:name w:val="Footer Char"/>
    <w:uiPriority w:val="99"/>
    <w:qFormat/>
  </w:style>
  <w:style w:type="character" w:styleId="788" w:customStyle="1">
    <w:name w:val="页脚 字符"/>
    <w:link w:val="749"/>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字符"/>
    <w:link w:val="754"/>
    <w:uiPriority w:val="99"/>
    <w:qFormat/>
    <w:rPr>
      <w:sz w:val="18"/>
    </w:rPr>
  </w:style>
  <w:style w:type="character" w:styleId="915" w:customStyle="1">
    <w:name w:val="尾注文本 字符"/>
    <w:link w:val="748"/>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标题 11"/>
    <w:basedOn w:val="918"/>
    <w:next w:val="731"/>
    <w:uiPriority w:val="0"/>
    <w:qFormat/>
    <w:pPr>
      <w:spacing w:before="340" w:after="330" w:line="576" w:lineRule="auto"/>
      <w:outlineLvl w:val="0"/>
    </w:pPr>
    <w:rPr>
      <w:b w:val="0"/>
      <w:sz w:val="44"/>
    </w:rPr>
  </w:style>
  <w:style w:type="paragraph" w:styleId="918" w:customStyle="1">
    <w:name w:val="标题 311"/>
    <w:basedOn w:val="731"/>
    <w:next w:val="731"/>
    <w:uiPriority w:val="0"/>
    <w:qFormat/>
    <w:pPr>
      <w:keepLines/>
      <w:keepNext/>
      <w:spacing w:before="260" w:after="260" w:line="413" w:lineRule="auto"/>
      <w:outlineLvl w:val="2"/>
    </w:pPr>
    <w:rPr>
      <w:b/>
      <w:sz w:val="32"/>
    </w:rPr>
  </w:style>
  <w:style w:type="paragraph" w:styleId="919" w:customStyle="1">
    <w:name w:val="标题 21"/>
    <w:basedOn w:val="731"/>
    <w:next w:val="731"/>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20" w:customStyle="1">
    <w:name w:val="默认段落字体1"/>
    <w:uiPriority w:val="1"/>
    <w:unhideWhenUsed/>
    <w:qFormat/>
  </w:style>
  <w:style w:type="table" w:styleId="921" w:customStyle="1">
    <w:name w:val="普通表格1"/>
    <w:uiPriority w:val="99"/>
    <w:unhideWhenUsed/>
    <w:qFormat/>
    <w:tblPr>
      <w:tblCellMar>
        <w:left w:w="0" w:type="dxa"/>
        <w:top w:w="0" w:type="dxa"/>
        <w:right w:w="0" w:type="dxa"/>
        <w:bottom w:w="0" w:type="dxa"/>
      </w:tblCellMar>
    </w:tblPr>
  </w:style>
  <w:style w:type="paragraph" w:styleId="922" w:customStyle="1">
    <w:name w:val="批注文字1"/>
    <w:basedOn w:val="731"/>
    <w:uiPriority w:val="0"/>
    <w:qFormat/>
    <w:pPr>
      <w:jc w:val="left"/>
    </w:pPr>
  </w:style>
  <w:style w:type="paragraph" w:styleId="923" w:customStyle="1">
    <w:name w:val="正文文本1"/>
    <w:basedOn w:val="731"/>
    <w:next w:val="731"/>
    <w:uiPriority w:val="0"/>
    <w:unhideWhenUsed/>
    <w:qFormat/>
    <w:pPr>
      <w:spacing w:after="120"/>
    </w:pPr>
    <w:rPr>
      <w:szCs w:val="22"/>
    </w:rPr>
  </w:style>
  <w:style w:type="paragraph" w:styleId="924" w:customStyle="1">
    <w:name w:val="纯文本11"/>
    <w:basedOn w:val="731"/>
    <w:uiPriority w:val="0"/>
    <w:unhideWhenUsed/>
    <w:qFormat/>
    <w:rPr>
      <w:rFonts w:ascii="宋体" w:hAnsi="Courier New" w:cs="Courier New"/>
      <w:szCs w:val="21"/>
    </w:rPr>
  </w:style>
  <w:style w:type="paragraph" w:styleId="925" w:customStyle="1">
    <w:name w:val="页脚11"/>
    <w:basedOn w:val="731"/>
    <w:link w:val="926"/>
    <w:uiPriority w:val="0"/>
    <w:qFormat/>
    <w:pPr>
      <w:jc w:val="left"/>
      <w:tabs>
        <w:tab w:val="center" w:pos="4153" w:leader="none"/>
        <w:tab w:val="right" w:pos="8306" w:leader="none"/>
      </w:tabs>
    </w:pPr>
    <w:rPr>
      <w:sz w:val="18"/>
      <w:szCs w:val="18"/>
    </w:rPr>
  </w:style>
  <w:style w:type="character" w:styleId="926" w:customStyle="1">
    <w:name w:val="页脚 Char"/>
    <w:basedOn w:val="920"/>
    <w:link w:val="925"/>
    <w:uiPriority w:val="0"/>
    <w:qFormat/>
    <w:rPr>
      <w:rFonts w:ascii="Calibri" w:hAnsi="Calibri" w:eastAsia="宋体" w:cs="Times New Roman"/>
      <w:sz w:val="18"/>
      <w:szCs w:val="18"/>
    </w:rPr>
  </w:style>
  <w:style w:type="paragraph" w:styleId="927" w:customStyle="1">
    <w:name w:val="页眉1"/>
    <w:basedOn w:val="731"/>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basedOn w:val="920"/>
    <w:link w:val="927"/>
    <w:uiPriority w:val="0"/>
    <w:qFormat/>
    <w:rPr>
      <w:rFonts w:ascii="Calibri" w:hAnsi="Calibri" w:eastAsia="宋体" w:cs="Times New Roman"/>
      <w:sz w:val="18"/>
      <w:szCs w:val="18"/>
    </w:rPr>
  </w:style>
  <w:style w:type="paragraph" w:styleId="929" w:customStyle="1">
    <w:name w:val="普通(网站)11"/>
    <w:basedOn w:val="731"/>
    <w:uiPriority w:val="0"/>
    <w:qFormat/>
    <w:pPr>
      <w:jc w:val="left"/>
      <w:spacing w:beforeAutospacing="1" w:afterAutospacing="1"/>
    </w:pPr>
    <w:rPr>
      <w:sz w:val="24"/>
    </w:rPr>
  </w:style>
  <w:style w:type="table" w:styleId="930" w:customStyle="1">
    <w:name w:val="网格型1"/>
    <w:basedOn w:val="921"/>
    <w:uiPriority w:val="0"/>
    <w:qFormat/>
    <w:pPr>
      <w:jc w:val="both"/>
      <w:widowControl w:val="off"/>
    </w:pPr>
    <w:tblPr/>
  </w:style>
  <w:style w:type="paragraph" w:styleId="931" w:customStyle="1">
    <w:name w:val="文本块1"/>
    <w:basedOn w:val="731"/>
    <w:uiPriority w:val="0"/>
    <w:unhideWhenUsed/>
    <w:qFormat/>
    <w:pPr>
      <w:ind w:left="1440"/>
      <w:spacing w:after="120"/>
    </w:pPr>
    <w:rPr>
      <w:rFonts w:hint="eastAsia"/>
    </w:rPr>
  </w:style>
  <w:style w:type="character" w:styleId="932" w:customStyle="1">
    <w:name w:val="font51"/>
    <w:basedOn w:val="920"/>
    <w:uiPriority w:val="0"/>
    <w:qFormat/>
    <w:rPr>
      <w:rFonts w:hint="eastAsia" w:ascii="黑体" w:hAnsi="宋体" w:eastAsia="黑体" w:cs="黑体"/>
      <w:color w:val="000000"/>
      <w:sz w:val="20"/>
      <w:szCs w:val="20"/>
      <w:u w:val="none"/>
    </w:rPr>
  </w:style>
  <w:style w:type="character" w:styleId="933" w:customStyle="1">
    <w:name w:val="font112"/>
    <w:basedOn w:val="920"/>
    <w:uiPriority w:val="0"/>
    <w:qFormat/>
    <w:rPr>
      <w:rFonts w:hint="eastAsia" w:ascii="Malgun Gothic" w:hAnsi="Malgun Gothic" w:eastAsia="Malgun Gothic" w:cs="Malgun Gothic"/>
      <w:color w:val="000000"/>
      <w:sz w:val="20"/>
      <w:szCs w:val="20"/>
      <w:u w:val="none"/>
    </w:rPr>
  </w:style>
  <w:style w:type="character" w:styleId="934" w:customStyle="1">
    <w:name w:val="font101"/>
    <w:basedOn w:val="920"/>
    <w:uiPriority w:val="0"/>
    <w:qFormat/>
    <w:rPr>
      <w:rFonts w:ascii="Malgun Gothic" w:hAnsi="Malgun Gothic" w:eastAsia="Malgun Gothic" w:cs="Malgun Gothic"/>
      <w:color w:val="000000"/>
      <w:sz w:val="20"/>
      <w:szCs w:val="20"/>
      <w:u w:val="none"/>
    </w:rPr>
  </w:style>
  <w:style w:type="character" w:styleId="935" w:customStyle="1">
    <w:name w:val="font91"/>
    <w:basedOn w:val="920"/>
    <w:uiPriority w:val="0"/>
    <w:qFormat/>
    <w:rPr>
      <w:rFonts w:ascii="Calibri" w:hAnsi="Calibri" w:cs="Calibri"/>
      <w:color w:val="000000"/>
      <w:sz w:val="20"/>
      <w:szCs w:val="20"/>
      <w:u w:val="none"/>
    </w:rPr>
  </w:style>
  <w:style w:type="paragraph" w:styleId="936" w:customStyle="1">
    <w:name w:val="Default"/>
    <w:basedOn w:val="731"/>
    <w:uiPriority w:val="0"/>
    <w:semiHidden/>
    <w:qFormat/>
    <w:pPr>
      <w:jc w:val="left"/>
    </w:pPr>
    <w:rPr>
      <w:rFonts w:ascii="宋体" w:cs="宋体"/>
      <w:color w:val="000000"/>
      <w:sz w:val="24"/>
    </w:rPr>
  </w:style>
  <w:style w:type="paragraph" w:styleId="937" w:customStyle="1">
    <w:name w:val="纯文本1"/>
    <w:basedOn w:val="731"/>
    <w:uiPriority w:val="0"/>
    <w:qFormat/>
    <w:rPr>
      <w:rFonts w:ascii="宋体" w:hAnsi="Courier New"/>
    </w:rPr>
  </w:style>
  <w:style w:type="paragraph" w:styleId="9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9" w:customStyle="1">
    <w:name w:val="普通正文"/>
    <w:basedOn w:val="731"/>
    <w:uiPriority w:val="0"/>
    <w:qFormat/>
    <w:pPr>
      <w:ind w:firstLine="480"/>
      <w:jc w:val="left"/>
      <w:spacing w:before="120" w:after="120" w:line="360" w:lineRule="auto"/>
    </w:pPr>
    <w:rPr>
      <w:rFonts w:ascii="Arial" w:hAnsi="Arial" w:eastAsia="等线" w:cs="Arial"/>
      <w:sz w:val="24"/>
    </w:rPr>
  </w:style>
  <w:style w:type="paragraph" w:styleId="940" w:customStyle="1">
    <w:name w:val="正文缩进1"/>
    <w:basedOn w:val="731"/>
    <w:uiPriority w:val="0"/>
    <w:qFormat/>
    <w:pPr>
      <w:ind w:firstLine="420"/>
    </w:pPr>
  </w:style>
  <w:style w:type="paragraph" w:styleId="941" w:customStyle="1">
    <w:name w:val="标题 31"/>
    <w:basedOn w:val="731"/>
    <w:next w:val="940"/>
    <w:uiPriority w:val="0"/>
    <w:qFormat/>
    <w:pPr>
      <w:keepLines/>
      <w:keepNext/>
      <w:spacing w:before="260" w:after="260" w:line="416" w:lineRule="auto"/>
      <w:outlineLvl w:val="2"/>
    </w:pPr>
    <w:rPr>
      <w:b/>
      <w:bCs/>
      <w:sz w:val="32"/>
      <w:szCs w:val="32"/>
    </w:rPr>
  </w:style>
  <w:style w:type="paragraph" w:styleId="942" w:customStyle="1">
    <w:name w:val="普通(网站)1"/>
    <w:basedOn w:val="731"/>
    <w:uiPriority w:val="0"/>
    <w:qFormat/>
    <w:pPr>
      <w:jc w:val="left"/>
      <w:spacing w:before="100" w:beforeAutospacing="1" w:after="100" w:afterAutospacing="1"/>
      <w:widowControl/>
    </w:pPr>
    <w:rPr>
      <w:rFonts w:ascii="宋体" w:hAnsi="宋体" w:cs="宋体"/>
      <w:sz w:val="24"/>
    </w:rPr>
  </w:style>
  <w:style w:type="paragraph" w:styleId="943" w:customStyle="1">
    <w:name w:val="页脚1"/>
    <w:basedOn w:val="731"/>
    <w:uiPriority w:val="99"/>
    <w:unhideWhenUsed/>
    <w:qFormat/>
    <w:pPr>
      <w:jc w:val="left"/>
      <w:tabs>
        <w:tab w:val="center" w:pos="4153" w:leader="none"/>
        <w:tab w:val="right" w:pos="8306" w:leader="none"/>
      </w:tabs>
    </w:pPr>
    <w:rPr>
      <w:sz w:val="18"/>
      <w:szCs w:val="18"/>
    </w:rPr>
  </w:style>
  <w:style w:type="paragraph" w:styleId="944" w:customStyle="1">
    <w:name w:val="正文（缩进）"/>
    <w:basedOn w:val="731"/>
    <w:uiPriority w:val="0"/>
    <w:qFormat/>
    <w:pPr>
      <w:ind w:firstLine="480"/>
      <w:spacing w:line="360" w:lineRule="auto"/>
    </w:pPr>
    <w:rPr>
      <w:sz w:val="24"/>
    </w:rPr>
  </w:style>
  <w:style w:type="table" w:styleId="945" w:customStyle="1">
    <w:name w:val="Table Normal"/>
    <w:uiPriority w:val="0"/>
    <w:qFormat/>
    <w:tblPr>
      <w:tblCellMar>
        <w:left w:w="0" w:type="dxa"/>
        <w:top w:w="0" w:type="dxa"/>
        <w:right w:w="0" w:type="dxa"/>
        <w:bottom w:w="0" w:type="dxa"/>
      </w:tblCellMar>
    </w:tblPr>
  </w:style>
  <w:style w:type="character" w:styleId="946" w:customStyle="1">
    <w:name w:val="font41"/>
    <w:basedOn w:val="741"/>
    <w:uiPriority w:val="0"/>
    <w:qFormat/>
    <w:rPr>
      <w:rFonts w:hint="eastAsia" w:ascii="宋体" w:hAnsi="宋体" w:eastAsia="宋体" w:cs="宋体"/>
      <w:color w:val="ff0000"/>
      <w:sz w:val="22"/>
      <w:szCs w:val="22"/>
      <w:u w:val="none"/>
    </w:rPr>
  </w:style>
  <w:style w:type="character" w:styleId="947" w:customStyle="1">
    <w:name w:val="font11"/>
    <w:basedOn w:val="741"/>
    <w:uiPriority w:val="0"/>
    <w:qFormat/>
    <w:rPr>
      <w:rFonts w:hint="eastAsia" w:ascii="宋体" w:hAnsi="宋体" w:eastAsia="宋体" w:cs="宋体"/>
      <w:color w:val="000000"/>
      <w:sz w:val="22"/>
      <w:szCs w:val="22"/>
      <w:u w:val="none"/>
    </w:rPr>
  </w:style>
  <w:style w:type="paragraph" w:styleId="948" w:customStyle="1">
    <w:name w:val="Table Text"/>
    <w:basedOn w:val="731"/>
    <w:uiPriority w:val="0"/>
    <w:semiHidden/>
    <w:qFormat/>
    <w:rPr>
      <w:rFonts w:ascii="宋体" w:hAnsi="宋体" w:cs="宋体"/>
      <w:sz w:val="28"/>
      <w:szCs w:val="28"/>
      <w:lang w:eastAsia="en-US"/>
    </w:rPr>
  </w:style>
  <w:style w:type="paragraph" w:styleId="949" w:customStyle="1">
    <w:name w:val="列出段落"/>
    <w:basedOn w:val="731"/>
    <w:uiPriority w:val="34"/>
    <w:qFormat/>
    <w:pPr>
      <w:contextualSpacing/>
      <w:ind w:left="720"/>
      <w:jc w:val="left"/>
      <w:widowControl/>
    </w:pPr>
    <w:rPr>
      <w:sz w:val="24"/>
      <w:lang w:eastAsia="en-US" w:bidi="en-US"/>
    </w:rPr>
  </w:style>
  <w:style w:type="character" w:styleId="950" w:customStyle="1">
    <w:name w:val="font61"/>
    <w:basedOn w:val="741"/>
    <w:uiPriority w:val="0"/>
    <w:qFormat/>
    <w:rPr>
      <w:rFonts w:hint="eastAsia" w:ascii="宋体" w:hAnsi="宋体" w:eastAsia="宋体" w:cs="宋体"/>
      <w:b/>
      <w:bCs/>
      <w:color w:val="ff0000"/>
      <w:sz w:val="24"/>
      <w:szCs w:val="24"/>
      <w:u w:val="none"/>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888F43-A39E-407A-A10D-1D3DAA6750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1</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南翠莲</cp:lastModifiedBy>
  <cp:revision>7</cp:revision>
  <dcterms:created xsi:type="dcterms:W3CDTF">2026-05-10T03:06:00Z</dcterms:created>
  <dcterms:modified xsi:type="dcterms:W3CDTF">2026-05-26T06:23:43Z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eyJoZGlkIjoiZWQ2NDZhYjNhNTVjNDhmZTMwYzExZDFmNzgxMTE2NmQiLCJ1c2VySWQiOiI3MjMzNTE5ODgifQ==</vt:lpwstr>
  </property>
  <property fmtid="{D5CDD505-2E9C-101B-9397-08002B2CF9AE}" pid="3" name="KSOProductBuildVer">
    <vt:lpwstr>2052-12.1.0.26375</vt:lpwstr>
  </property>
  <property fmtid="{D5CDD505-2E9C-101B-9397-08002B2CF9AE}" pid="4" name="ICV">
    <vt:lpwstr>86054F5B22A9495C9B47BF0615E56FE6_13</vt:lpwstr>
  </property>
</Properties>
</file>